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68" w:rsidRDefault="0068077B" w:rsidP="000C58D7">
      <w:pPr>
        <w:pStyle w:val="Heading1"/>
        <w:pBdr>
          <w:bottom w:val="single" w:sz="6" w:space="1" w:color="auto"/>
        </w:pBdr>
        <w:jc w:val="center"/>
        <w:rPr>
          <w:color w:val="auto"/>
        </w:rPr>
      </w:pPr>
      <w:r w:rsidRPr="000C58D7">
        <w:rPr>
          <w:color w:val="auto"/>
        </w:rPr>
        <w:t xml:space="preserve">NE 445L/481 </w:t>
      </w:r>
      <w:proofErr w:type="spellStart"/>
      <w:r w:rsidRPr="000C58D7">
        <w:rPr>
          <w:color w:val="auto"/>
        </w:rPr>
        <w:t>Nanoscale</w:t>
      </w:r>
      <w:proofErr w:type="spellEnd"/>
      <w:r w:rsidRPr="000C58D7">
        <w:rPr>
          <w:color w:val="auto"/>
        </w:rPr>
        <w:t xml:space="preserve"> </w:t>
      </w:r>
      <w:proofErr w:type="spellStart"/>
      <w:r w:rsidRPr="000C58D7">
        <w:rPr>
          <w:color w:val="auto"/>
        </w:rPr>
        <w:t>Biosystems</w:t>
      </w:r>
      <w:proofErr w:type="spellEnd"/>
      <w:r w:rsidRPr="000C58D7">
        <w:rPr>
          <w:color w:val="auto"/>
        </w:rPr>
        <w:t xml:space="preserve"> Lab Report</w:t>
      </w:r>
    </w:p>
    <w:p w:rsidR="00110C31" w:rsidRPr="00110C31" w:rsidRDefault="00110C31" w:rsidP="000C58D7"/>
    <w:p w:rsidR="00110C31" w:rsidRDefault="00F42A16" w:rsidP="000C58D7">
      <w:pPr>
        <w:pStyle w:val="Heading2"/>
        <w:jc w:val="center"/>
      </w:pPr>
      <w:r>
        <w:rPr>
          <w:noProof/>
          <w:lang w:eastAsia="en-CA"/>
        </w:rPr>
        <w:drawing>
          <wp:inline distT="0" distB="0" distL="0" distR="0">
            <wp:extent cx="5191125" cy="407829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93812" cy="4080408"/>
                    </a:xfrm>
                    <a:prstGeom prst="rect">
                      <a:avLst/>
                    </a:prstGeom>
                    <a:noFill/>
                    <a:ln w="9525">
                      <a:noFill/>
                      <a:miter lim="800000"/>
                      <a:headEnd/>
                      <a:tailEnd/>
                    </a:ln>
                  </pic:spPr>
                </pic:pic>
              </a:graphicData>
            </a:graphic>
          </wp:inline>
        </w:drawing>
      </w:r>
    </w:p>
    <w:p w:rsidR="000C58D7" w:rsidRDefault="000C58D7" w:rsidP="000C58D7">
      <w:pPr>
        <w:jc w:val="center"/>
        <w:rPr>
          <w:rStyle w:val="Heading2Char"/>
          <w:color w:val="000000" w:themeColor="text1"/>
        </w:rPr>
      </w:pPr>
    </w:p>
    <w:p w:rsidR="0068077B" w:rsidRPr="0068077B" w:rsidRDefault="0068077B" w:rsidP="000C58D7">
      <w:pPr>
        <w:jc w:val="center"/>
        <w:rPr>
          <w:rStyle w:val="Heading2Char"/>
          <w:color w:val="000000" w:themeColor="text1"/>
        </w:rPr>
      </w:pPr>
      <w:r w:rsidRPr="000C58D7">
        <w:rPr>
          <w:rStyle w:val="Heading2Char"/>
          <w:color w:val="000000" w:themeColor="text1"/>
        </w:rPr>
        <w:t>University of Waterloo</w:t>
      </w:r>
      <w:r w:rsidRPr="000C58D7">
        <w:rPr>
          <w:rStyle w:val="Heading2Char"/>
          <w:color w:val="000000" w:themeColor="text1"/>
        </w:rPr>
        <w:br/>
        <w:t>4A Nanotechnology Engineering</w:t>
      </w:r>
      <w:r w:rsidR="000C58D7">
        <w:rPr>
          <w:rStyle w:val="Heading2Char"/>
          <w:color w:val="000000" w:themeColor="text1"/>
        </w:rPr>
        <w:br/>
      </w:r>
      <w:r w:rsidRPr="0068077B">
        <w:rPr>
          <w:rStyle w:val="Heading2Char"/>
          <w:color w:val="000000" w:themeColor="text1"/>
        </w:rPr>
        <w:t>Group 7</w:t>
      </w:r>
    </w:p>
    <w:p w:rsidR="0068077B" w:rsidRDefault="0068077B" w:rsidP="000C58D7">
      <w:pPr>
        <w:pStyle w:val="Heading4"/>
        <w:jc w:val="center"/>
        <w:rPr>
          <w:rStyle w:val="Heading3Char"/>
          <w:color w:val="000000" w:themeColor="text1"/>
        </w:rPr>
      </w:pPr>
      <w:r w:rsidRPr="0068077B">
        <w:rPr>
          <w:rStyle w:val="Heading3Char"/>
          <w:color w:val="000000" w:themeColor="text1"/>
        </w:rPr>
        <w:t xml:space="preserve">Rajesh Swaminathan </w:t>
      </w:r>
      <w:r w:rsidR="00F42A16">
        <w:rPr>
          <w:rStyle w:val="Heading3Char"/>
          <w:color w:val="000000" w:themeColor="text1"/>
        </w:rPr>
        <w:br/>
        <w:t xml:space="preserve">Student ID: </w:t>
      </w:r>
      <w:r w:rsidRPr="0068077B">
        <w:rPr>
          <w:rStyle w:val="Heading3Char"/>
          <w:color w:val="000000" w:themeColor="text1"/>
        </w:rPr>
        <w:t>20194189</w:t>
      </w:r>
      <w:r w:rsidR="00385308">
        <w:rPr>
          <w:rStyle w:val="Heading3Char"/>
          <w:color w:val="000000" w:themeColor="text1"/>
        </w:rPr>
        <w:br/>
        <w:t xml:space="preserve">Email: </w:t>
      </w:r>
      <w:r w:rsidR="00385308" w:rsidRPr="00385308">
        <w:rPr>
          <w:rStyle w:val="Heading3Char"/>
          <w:color w:val="000000" w:themeColor="text1"/>
        </w:rPr>
        <w:t>rajesh@meetrajesh.com</w:t>
      </w:r>
      <w:r w:rsidR="00385308">
        <w:rPr>
          <w:rStyle w:val="Heading3Char"/>
          <w:color w:val="000000" w:themeColor="text1"/>
        </w:rPr>
        <w:br/>
        <w:t xml:space="preserve">Phone: </w:t>
      </w:r>
      <w:r w:rsidR="00385308" w:rsidRPr="00385308">
        <w:rPr>
          <w:rStyle w:val="Heading3Char"/>
          <w:color w:val="000000" w:themeColor="text1"/>
        </w:rPr>
        <w:t>519-590-5439</w:t>
      </w:r>
      <w:r w:rsidR="00385308">
        <w:rPr>
          <w:rStyle w:val="Heading3Char"/>
          <w:color w:val="000000" w:themeColor="text1"/>
        </w:rPr>
        <w:br/>
      </w:r>
      <w:r w:rsidRPr="0068077B">
        <w:rPr>
          <w:rStyle w:val="Heading3Char"/>
          <w:color w:val="000000" w:themeColor="text1"/>
        </w:rPr>
        <w:br/>
        <w:t xml:space="preserve">Lab Partner: Peter Lee </w:t>
      </w:r>
      <w:r w:rsidR="00F42A16">
        <w:rPr>
          <w:rStyle w:val="Heading3Char"/>
          <w:color w:val="000000" w:themeColor="text1"/>
        </w:rPr>
        <w:t>(</w:t>
      </w:r>
      <w:r w:rsidRPr="0068077B">
        <w:rPr>
          <w:rStyle w:val="Heading3Char"/>
          <w:color w:val="000000" w:themeColor="text1"/>
        </w:rPr>
        <w:t>20201956</w:t>
      </w:r>
      <w:r w:rsidR="00F42A16">
        <w:rPr>
          <w:rStyle w:val="Heading3Char"/>
          <w:color w:val="000000" w:themeColor="text1"/>
        </w:rPr>
        <w:t>)</w:t>
      </w:r>
    </w:p>
    <w:p w:rsidR="0068077B" w:rsidRPr="000C58D7" w:rsidRDefault="00F42A16" w:rsidP="004330AC">
      <w:pPr>
        <w:jc w:val="center"/>
        <w:rPr>
          <w:sz w:val="22"/>
        </w:rPr>
      </w:pPr>
      <w:r>
        <w:rPr>
          <w:b/>
          <w:bCs/>
        </w:rPr>
        <w:br/>
      </w:r>
      <w:r w:rsidR="0068077B" w:rsidRPr="000C58D7">
        <w:rPr>
          <w:b/>
          <w:bCs/>
          <w:sz w:val="22"/>
        </w:rPr>
        <w:t>Dates Lab Performed On:</w:t>
      </w:r>
      <w:r w:rsidR="0068077B" w:rsidRPr="000C58D7">
        <w:rPr>
          <w:sz w:val="22"/>
        </w:rPr>
        <w:t xml:space="preserve">  Sep 17, Sep 24 and Oct 1 2009</w:t>
      </w:r>
      <w:r w:rsidRPr="000C58D7">
        <w:rPr>
          <w:sz w:val="22"/>
        </w:rPr>
        <w:br/>
      </w:r>
      <w:r w:rsidR="0068077B" w:rsidRPr="000C58D7">
        <w:rPr>
          <w:b/>
          <w:bCs/>
          <w:sz w:val="22"/>
        </w:rPr>
        <w:t>Lab Report Submitted</w:t>
      </w:r>
      <w:r w:rsidR="0068077B" w:rsidRPr="000C58D7">
        <w:rPr>
          <w:sz w:val="22"/>
        </w:rPr>
        <w:t xml:space="preserve"> on </w:t>
      </w:r>
      <w:r w:rsidR="004330AC" w:rsidRPr="000C58D7">
        <w:rPr>
          <w:sz w:val="22"/>
        </w:rPr>
        <w:t>Oct 14 2009</w:t>
      </w:r>
      <w:r w:rsidRPr="000C58D7">
        <w:rPr>
          <w:sz w:val="22"/>
        </w:rPr>
        <w:br/>
      </w:r>
      <w:r w:rsidR="0068077B" w:rsidRPr="000C58D7">
        <w:rPr>
          <w:b/>
          <w:bCs/>
          <w:sz w:val="22"/>
        </w:rPr>
        <w:t>Lab Instructor</w:t>
      </w:r>
      <w:r w:rsidR="0068077B" w:rsidRPr="000C58D7">
        <w:rPr>
          <w:sz w:val="22"/>
        </w:rPr>
        <w:t>: Lillian Liao</w:t>
      </w:r>
    </w:p>
    <w:p w:rsidR="00F42A16" w:rsidRDefault="00F42A16" w:rsidP="000C58D7">
      <w:pPr>
        <w:pStyle w:val="Heading1"/>
        <w:pBdr>
          <w:bottom w:val="single" w:sz="6" w:space="1" w:color="auto"/>
        </w:pBdr>
        <w:ind w:right="-138"/>
        <w:rPr>
          <w:color w:val="auto"/>
        </w:rPr>
      </w:pPr>
      <w:r w:rsidRPr="000C58D7">
        <w:rPr>
          <w:color w:val="auto"/>
        </w:rPr>
        <w:lastRenderedPageBreak/>
        <w:t xml:space="preserve">Lab 1 Polymeric Nanoparticle Formulation for Drug Delivery </w:t>
      </w:r>
      <w:r w:rsidR="00110C31" w:rsidRPr="000C58D7">
        <w:rPr>
          <w:color w:val="auto"/>
        </w:rPr>
        <w:t>A</w:t>
      </w:r>
      <w:r w:rsidRPr="000C58D7">
        <w:rPr>
          <w:color w:val="auto"/>
        </w:rPr>
        <w:t>pplications</w:t>
      </w:r>
    </w:p>
    <w:p w:rsidR="00110C31" w:rsidRDefault="00110C31" w:rsidP="000C58D7">
      <w:pPr>
        <w:pStyle w:val="Heading3"/>
      </w:pPr>
      <w:r>
        <w:t>Introduction and Objective</w:t>
      </w:r>
    </w:p>
    <w:p w:rsidR="005C1A03" w:rsidRDefault="005C1A03" w:rsidP="005C1A03">
      <w:r>
        <w:t xml:space="preserve">The main objective of this laboratory is to investigate two different encapsulation techniques, namely </w:t>
      </w:r>
      <w:proofErr w:type="spellStart"/>
      <w:r>
        <w:t>nano</w:t>
      </w:r>
      <w:proofErr w:type="spellEnd"/>
      <w:r>
        <w:t xml:space="preserve">-precipitation and double emulsion. The drugs that will be studied in light of these two encapsulation techniques are </w:t>
      </w:r>
      <w:proofErr w:type="spellStart"/>
      <w:r>
        <w:t>docetaxel</w:t>
      </w:r>
      <w:proofErr w:type="spellEnd"/>
      <w:r>
        <w:t xml:space="preserve"> and doxorubicin respectively. The drugs will be encapsulated in a PLGA-PEG polymer matrix to form nanoparticles of a certain radius. The differences between the two encapsulation techniques will be characterized by looking at the average size and distribution of the resulting particles. </w:t>
      </w:r>
    </w:p>
    <w:p w:rsidR="00110C31" w:rsidRDefault="00110C31" w:rsidP="000C58D7">
      <w:pPr>
        <w:pStyle w:val="Heading3"/>
      </w:pPr>
      <w:r>
        <w:t>Experimental Procedure</w:t>
      </w:r>
    </w:p>
    <w:p w:rsidR="00110C31" w:rsidRDefault="005C1A03" w:rsidP="005C1A03">
      <w:pPr>
        <w:rPr>
          <w:rFonts w:cs="TimesNewRomanPSMT"/>
          <w:lang w:val="en-US"/>
        </w:rPr>
      </w:pPr>
      <w:r>
        <w:t>T</w:t>
      </w:r>
      <w:r w:rsidR="005D4510">
        <w:t xml:space="preserve">he procedure </w:t>
      </w:r>
      <w:r>
        <w:t xml:space="preserve">for this laboratory was obtained from </w:t>
      </w:r>
      <w:r w:rsidR="005D4510" w:rsidRPr="000C58D7">
        <w:t>the</w:t>
      </w:r>
      <w:r w:rsidR="005D4510">
        <w:t xml:space="preserve"> </w:t>
      </w:r>
      <w:r w:rsidR="005D4510" w:rsidRPr="00E4295B">
        <w:t xml:space="preserve">NE 454L/481L </w:t>
      </w:r>
      <w:proofErr w:type="spellStart"/>
      <w:r>
        <w:t>Nanoscale</w:t>
      </w:r>
      <w:proofErr w:type="spellEnd"/>
      <w:r>
        <w:t xml:space="preserve"> </w:t>
      </w:r>
      <w:proofErr w:type="spellStart"/>
      <w:r>
        <w:t>Biosystems</w:t>
      </w:r>
      <w:proofErr w:type="spellEnd"/>
      <w:r>
        <w:t xml:space="preserve"> </w:t>
      </w:r>
      <w:r w:rsidR="005D4510">
        <w:t xml:space="preserve">Laboratory </w:t>
      </w:r>
      <w:r w:rsidR="005D4510" w:rsidRPr="00E4295B">
        <w:t>1</w:t>
      </w:r>
      <w:r w:rsidR="005D4510">
        <w:t xml:space="preserve"> part of the Nanotechnology Engineering Program 4A Lab Manuals, 2009. The only deviation from this procedure was that t</w:t>
      </w:r>
      <w:r w:rsidR="00110C31" w:rsidRPr="00D87D3F">
        <w:t xml:space="preserve">he </w:t>
      </w:r>
      <w:r w:rsidR="00110C31" w:rsidRPr="00D87D3F">
        <w:rPr>
          <w:rFonts w:cs="TimesNewRomanPSMT"/>
          <w:lang w:val="en-US"/>
        </w:rPr>
        <w:t xml:space="preserve">Branson </w:t>
      </w:r>
      <w:proofErr w:type="spellStart"/>
      <w:r w:rsidR="00110C31" w:rsidRPr="00D87D3F">
        <w:rPr>
          <w:rFonts w:cs="TimesNewRomanPSMT"/>
          <w:lang w:val="en-US"/>
        </w:rPr>
        <w:t>Dismembrator</w:t>
      </w:r>
      <w:proofErr w:type="spellEnd"/>
      <w:r w:rsidR="00110C31" w:rsidRPr="00D87D3F">
        <w:rPr>
          <w:rFonts w:cs="TimesNewRomanPSMT"/>
          <w:lang w:val="en-US"/>
        </w:rPr>
        <w:t xml:space="preserve"> was </w:t>
      </w:r>
      <w:r w:rsidR="005D4510">
        <w:rPr>
          <w:rFonts w:cs="TimesNewRomanPSMT"/>
          <w:lang w:val="en-US"/>
        </w:rPr>
        <w:t xml:space="preserve">turned ON for </w:t>
      </w:r>
      <w:r w:rsidR="00110C31">
        <w:rPr>
          <w:rFonts w:cs="TimesNewRomanPSMT"/>
          <w:lang w:val="en-US"/>
        </w:rPr>
        <w:t>1</w:t>
      </w:r>
      <w:r w:rsidR="00110C31" w:rsidRPr="00D87D3F">
        <w:rPr>
          <w:rFonts w:cs="TimesNewRomanPSMT"/>
          <w:lang w:val="en-US"/>
        </w:rPr>
        <w:t xml:space="preserve"> second </w:t>
      </w:r>
      <w:r w:rsidR="005D4510">
        <w:rPr>
          <w:rFonts w:cs="TimesNewRomanPSMT"/>
          <w:lang w:val="en-US"/>
        </w:rPr>
        <w:t>and turned OFF for 4 seconds.</w:t>
      </w:r>
    </w:p>
    <w:p w:rsidR="005D4510" w:rsidRDefault="00372450" w:rsidP="000C58D7">
      <w:pPr>
        <w:pStyle w:val="Heading3"/>
      </w:pPr>
      <w:r>
        <w:rPr>
          <w:lang w:eastAsia="en-US"/>
        </w:rPr>
        <w:t>Data Collected</w:t>
      </w:r>
      <w:r w:rsidR="00360B57">
        <w:br/>
      </w:r>
    </w:p>
    <w:tbl>
      <w:tblPr>
        <w:tblStyle w:val="TableGrid"/>
        <w:tblW w:w="0" w:type="auto"/>
        <w:tblInd w:w="108" w:type="dxa"/>
        <w:tblLook w:val="04A0"/>
      </w:tblPr>
      <w:tblGrid>
        <w:gridCol w:w="5353"/>
        <w:gridCol w:w="1559"/>
      </w:tblGrid>
      <w:tr w:rsidR="005D4510" w:rsidTr="00103EB3">
        <w:tc>
          <w:tcPr>
            <w:tcW w:w="5353" w:type="dxa"/>
          </w:tcPr>
          <w:p w:rsidR="005D4510" w:rsidRPr="000C58D7" w:rsidRDefault="005D4510" w:rsidP="000C58D7">
            <w:pPr>
              <w:rPr>
                <w:b/>
                <w:bCs/>
              </w:rPr>
            </w:pPr>
            <w:r w:rsidRPr="000C58D7">
              <w:rPr>
                <w:b/>
                <w:bCs/>
              </w:rPr>
              <w:t xml:space="preserve">Recorded Measured Results for </w:t>
            </w:r>
            <w:proofErr w:type="spellStart"/>
            <w:r w:rsidRPr="000C58D7">
              <w:rPr>
                <w:b/>
                <w:bCs/>
              </w:rPr>
              <w:t>Nanoprecipitation</w:t>
            </w:r>
            <w:proofErr w:type="spellEnd"/>
          </w:p>
        </w:tc>
        <w:tc>
          <w:tcPr>
            <w:tcW w:w="1559" w:type="dxa"/>
          </w:tcPr>
          <w:p w:rsidR="005D4510" w:rsidRPr="000C58D7" w:rsidRDefault="005D4510" w:rsidP="000C58D7">
            <w:pPr>
              <w:rPr>
                <w:b/>
                <w:bCs/>
              </w:rPr>
            </w:pPr>
            <w:r w:rsidRPr="000C58D7">
              <w:rPr>
                <w:b/>
                <w:bCs/>
              </w:rPr>
              <w:t>Values</w:t>
            </w:r>
          </w:p>
        </w:tc>
      </w:tr>
      <w:tr w:rsidR="005D4510" w:rsidTr="00103EB3">
        <w:tc>
          <w:tcPr>
            <w:tcW w:w="5353" w:type="dxa"/>
          </w:tcPr>
          <w:p w:rsidR="005D4510" w:rsidRDefault="005D4510" w:rsidP="000C58D7">
            <w:r>
              <w:t>Polymer Mass Measured of PLGA-b-PEG MW1 Stock</w:t>
            </w:r>
          </w:p>
        </w:tc>
        <w:tc>
          <w:tcPr>
            <w:tcW w:w="1559" w:type="dxa"/>
          </w:tcPr>
          <w:p w:rsidR="005D4510" w:rsidRDefault="005D4510" w:rsidP="000C58D7">
            <w:r>
              <w:t>150.3 mg</w:t>
            </w:r>
          </w:p>
        </w:tc>
      </w:tr>
      <w:tr w:rsidR="005D4510" w:rsidTr="00103EB3">
        <w:tc>
          <w:tcPr>
            <w:tcW w:w="5353" w:type="dxa"/>
          </w:tcPr>
          <w:p w:rsidR="005D4510" w:rsidRDefault="005D4510" w:rsidP="000C58D7">
            <w:r>
              <w:t xml:space="preserve">Polymer Mass of MW1 – </w:t>
            </w:r>
            <w:proofErr w:type="spellStart"/>
            <w:r>
              <w:t>Docetaxel</w:t>
            </w:r>
            <w:proofErr w:type="spellEnd"/>
            <w:r>
              <w:t xml:space="preserve"> in ACN</w:t>
            </w:r>
          </w:p>
        </w:tc>
        <w:tc>
          <w:tcPr>
            <w:tcW w:w="1559" w:type="dxa"/>
          </w:tcPr>
          <w:p w:rsidR="005D4510" w:rsidRDefault="005D4510" w:rsidP="000C58D7">
            <w:r>
              <w:t>10.1 mg</w:t>
            </w:r>
          </w:p>
        </w:tc>
      </w:tr>
      <w:tr w:rsidR="005D4510" w:rsidTr="00103EB3">
        <w:tc>
          <w:tcPr>
            <w:tcW w:w="5353" w:type="dxa"/>
          </w:tcPr>
          <w:p w:rsidR="005D4510" w:rsidRDefault="005D4510" w:rsidP="000C58D7">
            <w:r>
              <w:t>Polymer Mass of MW2 - THF</w:t>
            </w:r>
          </w:p>
        </w:tc>
        <w:tc>
          <w:tcPr>
            <w:tcW w:w="1559" w:type="dxa"/>
          </w:tcPr>
          <w:p w:rsidR="005D4510" w:rsidRDefault="005D4510" w:rsidP="000C58D7">
            <w:r>
              <w:t>10.8 mg</w:t>
            </w:r>
          </w:p>
        </w:tc>
      </w:tr>
      <w:tr w:rsidR="005D4510" w:rsidTr="00103EB3">
        <w:tc>
          <w:tcPr>
            <w:tcW w:w="5353" w:type="dxa"/>
          </w:tcPr>
          <w:p w:rsidR="005D4510" w:rsidRDefault="005D4510" w:rsidP="000C58D7">
            <w:r>
              <w:t>Polymer Mass of MW3 - THF</w:t>
            </w:r>
          </w:p>
        </w:tc>
        <w:tc>
          <w:tcPr>
            <w:tcW w:w="1559" w:type="dxa"/>
          </w:tcPr>
          <w:p w:rsidR="005D4510" w:rsidRDefault="005D4510" w:rsidP="000C58D7">
            <w:r>
              <w:t>11.1 mg</w:t>
            </w:r>
          </w:p>
        </w:tc>
      </w:tr>
    </w:tbl>
    <w:p w:rsidR="00360B57" w:rsidRDefault="00360B57" w:rsidP="000C58D7"/>
    <w:tbl>
      <w:tblPr>
        <w:tblStyle w:val="TableGrid"/>
        <w:tblW w:w="6946" w:type="dxa"/>
        <w:tblInd w:w="108" w:type="dxa"/>
        <w:tblLook w:val="04A0"/>
      </w:tblPr>
      <w:tblGrid>
        <w:gridCol w:w="5387"/>
        <w:gridCol w:w="1559"/>
      </w:tblGrid>
      <w:tr w:rsidR="00360B57" w:rsidTr="00103EB3">
        <w:tc>
          <w:tcPr>
            <w:tcW w:w="5387" w:type="dxa"/>
          </w:tcPr>
          <w:p w:rsidR="00360B57" w:rsidRPr="000C58D7" w:rsidRDefault="00360B57" w:rsidP="000C58D7">
            <w:pPr>
              <w:rPr>
                <w:b/>
                <w:bCs/>
              </w:rPr>
            </w:pPr>
            <w:r w:rsidRPr="000C58D7">
              <w:rPr>
                <w:b/>
                <w:bCs/>
              </w:rPr>
              <w:t>Recorded Measured Results for Double Emulsion</w:t>
            </w:r>
          </w:p>
        </w:tc>
        <w:tc>
          <w:tcPr>
            <w:tcW w:w="1559" w:type="dxa"/>
          </w:tcPr>
          <w:p w:rsidR="00360B57" w:rsidRPr="000C58D7" w:rsidRDefault="00360B57" w:rsidP="000C58D7">
            <w:pPr>
              <w:rPr>
                <w:b/>
                <w:bCs/>
              </w:rPr>
            </w:pPr>
            <w:r w:rsidRPr="000C58D7">
              <w:rPr>
                <w:b/>
                <w:bCs/>
              </w:rPr>
              <w:t>Values</w:t>
            </w:r>
          </w:p>
        </w:tc>
      </w:tr>
      <w:tr w:rsidR="00360B57" w:rsidTr="00103EB3">
        <w:tc>
          <w:tcPr>
            <w:tcW w:w="5387" w:type="dxa"/>
          </w:tcPr>
          <w:p w:rsidR="00360B57" w:rsidRDefault="00360B57" w:rsidP="000C58D7">
            <w:r>
              <w:t xml:space="preserve">Polymer Mass Measured </w:t>
            </w:r>
            <w:r w:rsidRPr="001577C9">
              <w:t xml:space="preserve">of </w:t>
            </w:r>
            <w:r w:rsidRPr="001577C9">
              <w:rPr>
                <w:rFonts w:cs="TimesNewRomanPSMT"/>
                <w:sz w:val="24"/>
                <w:szCs w:val="24"/>
              </w:rPr>
              <w:t>PLGA-PEG MW1</w:t>
            </w:r>
          </w:p>
        </w:tc>
        <w:tc>
          <w:tcPr>
            <w:tcW w:w="1559" w:type="dxa"/>
          </w:tcPr>
          <w:p w:rsidR="00360B57" w:rsidRDefault="00360B57" w:rsidP="000C58D7">
            <w:r>
              <w:t>101.8 mg</w:t>
            </w:r>
          </w:p>
        </w:tc>
      </w:tr>
      <w:tr w:rsidR="00360B57" w:rsidTr="00103EB3">
        <w:tc>
          <w:tcPr>
            <w:tcW w:w="5387" w:type="dxa"/>
          </w:tcPr>
          <w:p w:rsidR="00360B57" w:rsidRDefault="00360B57" w:rsidP="000C58D7">
            <w:r>
              <w:t>Total Volume of PVA</w:t>
            </w:r>
          </w:p>
        </w:tc>
        <w:tc>
          <w:tcPr>
            <w:tcW w:w="1559" w:type="dxa"/>
          </w:tcPr>
          <w:p w:rsidR="00360B57" w:rsidRDefault="00360B57" w:rsidP="000C58D7">
            <w:r>
              <w:t>12.57 ml</w:t>
            </w:r>
          </w:p>
        </w:tc>
      </w:tr>
    </w:tbl>
    <w:p w:rsidR="000C58D7" w:rsidRDefault="000C58D7" w:rsidP="00372450">
      <w:pPr>
        <w:rPr>
          <w:b/>
        </w:rPr>
      </w:pPr>
      <w:r>
        <w:br/>
      </w:r>
      <w:r w:rsidR="00360B57">
        <w:t xml:space="preserve">Particle </w:t>
      </w:r>
      <w:r w:rsidR="00372450">
        <w:t xml:space="preserve">effective diameter obtained via </w:t>
      </w:r>
      <w:proofErr w:type="spellStart"/>
      <w:r w:rsidR="00372450">
        <w:t>n</w:t>
      </w:r>
      <w:r w:rsidR="00360B57">
        <w:t>anoprecipitation</w:t>
      </w:r>
      <w:proofErr w:type="spellEnd"/>
      <w:r w:rsidR="00360B57">
        <w:t xml:space="preserve"> = </w:t>
      </w:r>
      <w:r w:rsidR="00360B57" w:rsidRPr="00D87D3F">
        <w:rPr>
          <w:b/>
        </w:rPr>
        <w:t>46.1 nm</w:t>
      </w:r>
      <w:r w:rsidR="00360B57">
        <w:t xml:space="preserve"> </w:t>
      </w:r>
      <w:r>
        <w:br/>
      </w:r>
      <w:r w:rsidR="00372450">
        <w:t>Particle effective diameter obtained via d</w:t>
      </w:r>
      <w:r w:rsidR="00360B57">
        <w:t xml:space="preserve">ouble </w:t>
      </w:r>
      <w:r w:rsidR="00372450">
        <w:t>e</w:t>
      </w:r>
      <w:r w:rsidR="00360B57">
        <w:t xml:space="preserve">mulsion = </w:t>
      </w:r>
      <w:r w:rsidR="00360B57" w:rsidRPr="00D87D3F">
        <w:rPr>
          <w:b/>
        </w:rPr>
        <w:t>734.8 nm</w:t>
      </w:r>
    </w:p>
    <w:p w:rsidR="00110C31" w:rsidRDefault="000C58D7" w:rsidP="000C58D7">
      <w:pPr>
        <w:pStyle w:val="Heading3"/>
      </w:pPr>
      <w:r>
        <w:t>Discussion and Analysis</w:t>
      </w:r>
      <w:r w:rsidR="002107B7">
        <w:t xml:space="preserve"> of Data</w:t>
      </w:r>
      <w:r w:rsidR="00360B57">
        <w:br/>
      </w:r>
    </w:p>
    <w:p w:rsidR="000C58D7" w:rsidRPr="009E77F6" w:rsidRDefault="000C58D7" w:rsidP="000C58D7">
      <w:pPr>
        <w:rPr>
          <w:b/>
          <w:bCs/>
          <w:sz w:val="28"/>
          <w:szCs w:val="28"/>
        </w:rPr>
      </w:pPr>
      <w:r w:rsidRPr="009E77F6">
        <w:rPr>
          <w:rFonts w:hint="eastAsia"/>
          <w:b/>
          <w:bCs/>
          <w:sz w:val="28"/>
          <w:szCs w:val="28"/>
        </w:rPr>
        <w:t>Question 1</w:t>
      </w:r>
    </w:p>
    <w:p w:rsidR="000C58D7" w:rsidRDefault="000C58D7" w:rsidP="002050DF">
      <w:pPr>
        <w:jc w:val="center"/>
      </w:pPr>
      <w:r w:rsidRPr="00D87D3F">
        <w:rPr>
          <w:noProof/>
          <w:lang w:eastAsia="en-CA"/>
        </w:rPr>
        <w:lastRenderedPageBreak/>
        <w:drawing>
          <wp:inline distT="0" distB="0" distL="0" distR="0">
            <wp:extent cx="5267325" cy="26860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1F59" w:rsidRDefault="00951F59" w:rsidP="00951F59">
      <w:r>
        <w:t>Based on the collective results between groups, the following trends were observed:</w:t>
      </w:r>
    </w:p>
    <w:p w:rsidR="00951F59" w:rsidRDefault="00951F59" w:rsidP="00951F59">
      <w:pPr>
        <w:pStyle w:val="ListParagraph"/>
        <w:numPr>
          <w:ilvl w:val="0"/>
          <w:numId w:val="4"/>
        </w:numPr>
      </w:pPr>
      <w:r w:rsidRPr="00951F59">
        <w:rPr>
          <w:b/>
          <w:bCs/>
        </w:rPr>
        <w:t>Molecular weight</w:t>
      </w:r>
      <w:r>
        <w:t>: Increasing molecular weight increases particle size. This can be attributed to a decrease in net shear stress as the molecular weight increases.</w:t>
      </w:r>
    </w:p>
    <w:p w:rsidR="00951F59" w:rsidRDefault="00274AF2" w:rsidP="00274AF2">
      <w:pPr>
        <w:pStyle w:val="ListParagraph"/>
        <w:numPr>
          <w:ilvl w:val="0"/>
          <w:numId w:val="4"/>
        </w:numPr>
      </w:pPr>
      <w:r>
        <w:rPr>
          <w:b/>
          <w:bCs/>
        </w:rPr>
        <w:t xml:space="preserve">Concentration: </w:t>
      </w:r>
      <w:r>
        <w:t>As polymer concentration is increased, particle size increases as well. This can be attributed to larger amounts of surface interaction between the polar and non-polar surfaces of the particles, caused by the extra polymer added. The larger surface interaction leads to a decrease in shear stress which also yields larger particles.</w:t>
      </w:r>
    </w:p>
    <w:p w:rsidR="00274AF2" w:rsidRDefault="00FE52DA" w:rsidP="00FE52DA">
      <w:pPr>
        <w:pStyle w:val="ListParagraph"/>
        <w:numPr>
          <w:ilvl w:val="0"/>
          <w:numId w:val="4"/>
        </w:numPr>
      </w:pPr>
      <w:r>
        <w:rPr>
          <w:b/>
          <w:bCs/>
        </w:rPr>
        <w:t xml:space="preserve">Solvent Variation: </w:t>
      </w:r>
      <w:r>
        <w:t xml:space="preserve">Strongly polar solvents were more sensitive to changes in molecular weight of PLGA-PEG. Also, greater solvent </w:t>
      </w:r>
      <w:proofErr w:type="spellStart"/>
      <w:r>
        <w:t>hydrophilicity</w:t>
      </w:r>
      <w:proofErr w:type="spellEnd"/>
      <w:r>
        <w:t xml:space="preserve"> results in smaller nanoparticles due to better solubilisation of the polymer nanoparticles.</w:t>
      </w:r>
    </w:p>
    <w:p w:rsidR="00951F59" w:rsidRDefault="00951F59" w:rsidP="000C58D7"/>
    <w:p w:rsidR="000C58D7" w:rsidRDefault="000C58D7" w:rsidP="002050DF">
      <w:pPr>
        <w:jc w:val="center"/>
      </w:pPr>
      <w:r w:rsidRPr="002646D5">
        <w:rPr>
          <w:noProof/>
          <w:lang w:eastAsia="en-CA"/>
        </w:rPr>
        <w:drawing>
          <wp:inline distT="0" distB="0" distL="0" distR="0">
            <wp:extent cx="5676900" cy="26289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58D7" w:rsidRPr="009E77F6" w:rsidRDefault="000C58D7" w:rsidP="000C58D7">
      <w:pPr>
        <w:rPr>
          <w:b/>
          <w:bCs/>
          <w:sz w:val="28"/>
          <w:szCs w:val="28"/>
        </w:rPr>
      </w:pPr>
      <w:r w:rsidRPr="009E77F6">
        <w:rPr>
          <w:rFonts w:hint="eastAsia"/>
          <w:b/>
          <w:bCs/>
          <w:sz w:val="28"/>
          <w:szCs w:val="28"/>
        </w:rPr>
        <w:lastRenderedPageBreak/>
        <w:t xml:space="preserve">Question </w:t>
      </w:r>
      <w:r w:rsidRPr="009E77F6">
        <w:rPr>
          <w:b/>
          <w:bCs/>
          <w:sz w:val="28"/>
          <w:szCs w:val="28"/>
        </w:rPr>
        <w:t>2</w:t>
      </w:r>
    </w:p>
    <w:p w:rsidR="00993DF3" w:rsidRDefault="00993DF3" w:rsidP="00993DF3">
      <w:pPr>
        <w:pStyle w:val="NoSpacing"/>
        <w:spacing w:line="276" w:lineRule="auto"/>
        <w:rPr>
          <w:rFonts w:eastAsiaTheme="minorHAnsi"/>
          <w:sz w:val="24"/>
          <w:lang w:eastAsia="ko-KR"/>
        </w:rPr>
      </w:pPr>
      <w:r>
        <w:rPr>
          <w:rFonts w:eastAsiaTheme="minorHAnsi"/>
          <w:sz w:val="24"/>
          <w:lang w:eastAsia="ko-KR"/>
        </w:rPr>
        <w:t xml:space="preserve">We are basically looking for organic solvents that have similar Hildebrand solubility parameters as that of the four solvents studied in this lab, i.e. within the range of 9-14. </w:t>
      </w:r>
      <w:r w:rsidR="0036415A">
        <w:rPr>
          <w:rFonts w:eastAsiaTheme="minorHAnsi"/>
          <w:sz w:val="24"/>
          <w:lang w:eastAsia="ko-KR"/>
        </w:rPr>
        <w:t>For a PLGA-</w:t>
      </w:r>
      <w:r w:rsidR="0036415A">
        <w:rPr>
          <w:rFonts w:eastAsiaTheme="minorHAnsi"/>
          <w:i/>
          <w:iCs/>
          <w:sz w:val="24"/>
          <w:lang w:eastAsia="ko-KR"/>
        </w:rPr>
        <w:t>b</w:t>
      </w:r>
      <w:r w:rsidR="0036415A">
        <w:rPr>
          <w:rFonts w:eastAsiaTheme="minorHAnsi"/>
          <w:sz w:val="24"/>
          <w:lang w:eastAsia="ko-KR"/>
        </w:rPr>
        <w:t xml:space="preserve">-PEG polymer system with </w:t>
      </w:r>
      <w:proofErr w:type="spellStart"/>
      <w:r w:rsidR="0036415A">
        <w:rPr>
          <w:rFonts w:eastAsiaTheme="minorHAnsi"/>
          <w:sz w:val="24"/>
          <w:lang w:eastAsia="ko-KR"/>
        </w:rPr>
        <w:t>docetaxel</w:t>
      </w:r>
      <w:proofErr w:type="spellEnd"/>
      <w:r w:rsidR="0036415A">
        <w:rPr>
          <w:rFonts w:eastAsiaTheme="minorHAnsi"/>
          <w:sz w:val="24"/>
          <w:lang w:eastAsia="ko-KR"/>
        </w:rPr>
        <w:t xml:space="preserve">, a fifth solvent that could be used in a </w:t>
      </w:r>
      <w:proofErr w:type="spellStart"/>
      <w:r w:rsidR="0036415A">
        <w:rPr>
          <w:rFonts w:eastAsiaTheme="minorHAnsi"/>
          <w:sz w:val="24"/>
          <w:lang w:eastAsia="ko-KR"/>
        </w:rPr>
        <w:t>nanoprecipitation</w:t>
      </w:r>
      <w:proofErr w:type="spellEnd"/>
      <w:r w:rsidR="0036415A">
        <w:rPr>
          <w:rFonts w:eastAsiaTheme="minorHAnsi"/>
          <w:sz w:val="24"/>
          <w:lang w:eastAsia="ko-KR"/>
        </w:rPr>
        <w:t xml:space="preserve"> formulation is </w:t>
      </w:r>
      <w:proofErr w:type="spellStart"/>
      <w:r w:rsidR="0036415A" w:rsidRPr="0036415A">
        <w:rPr>
          <w:rFonts w:eastAsiaTheme="minorHAnsi"/>
          <w:sz w:val="24"/>
          <w:lang w:eastAsia="ko-KR"/>
        </w:rPr>
        <w:t>Dimethylformamide</w:t>
      </w:r>
      <w:proofErr w:type="spellEnd"/>
      <w:r w:rsidR="0036415A">
        <w:rPr>
          <w:rFonts w:eastAsiaTheme="minorHAnsi"/>
          <w:sz w:val="24"/>
          <w:lang w:eastAsia="ko-KR"/>
        </w:rPr>
        <w:t xml:space="preserve">, or simply DMF. Other substitutes are </w:t>
      </w:r>
      <w:r w:rsidR="0036415A" w:rsidRPr="0036415A">
        <w:rPr>
          <w:rFonts w:eastAsiaTheme="minorHAnsi"/>
          <w:sz w:val="24"/>
          <w:lang w:eastAsia="ko-KR"/>
        </w:rPr>
        <w:t xml:space="preserve">Dichloromethane </w:t>
      </w:r>
      <w:r w:rsidR="0036415A">
        <w:rPr>
          <w:rFonts w:eastAsiaTheme="minorHAnsi"/>
          <w:sz w:val="24"/>
          <w:lang w:eastAsia="ko-KR"/>
        </w:rPr>
        <w:t xml:space="preserve">(DCM) and toluene. </w:t>
      </w:r>
      <w:r>
        <w:rPr>
          <w:rFonts w:eastAsiaTheme="minorHAnsi"/>
          <w:sz w:val="24"/>
          <w:lang w:eastAsia="ko-KR"/>
        </w:rPr>
        <w:t xml:space="preserve">All these three suggested solvents, namely DMF, DCM and toluene have Hildebrand solubility parameters close to that of </w:t>
      </w:r>
      <w:proofErr w:type="spellStart"/>
      <w:r>
        <w:rPr>
          <w:rFonts w:eastAsiaTheme="minorHAnsi"/>
          <w:sz w:val="24"/>
          <w:lang w:eastAsia="ko-KR"/>
        </w:rPr>
        <w:t>acetonitrile</w:t>
      </w:r>
      <w:proofErr w:type="spellEnd"/>
      <w:r>
        <w:rPr>
          <w:rFonts w:eastAsiaTheme="minorHAnsi"/>
          <w:sz w:val="24"/>
          <w:lang w:eastAsia="ko-KR"/>
        </w:rPr>
        <w:t xml:space="preserve">. </w:t>
      </w:r>
    </w:p>
    <w:p w:rsidR="00993DF3" w:rsidRDefault="00993DF3" w:rsidP="00993DF3">
      <w:pPr>
        <w:pStyle w:val="NoSpacing"/>
        <w:spacing w:line="276" w:lineRule="auto"/>
        <w:rPr>
          <w:rFonts w:eastAsiaTheme="minorHAnsi"/>
          <w:sz w:val="24"/>
          <w:lang w:eastAsia="ko-KR"/>
        </w:rPr>
      </w:pPr>
    </w:p>
    <w:p w:rsidR="0036415A" w:rsidRDefault="00993DF3" w:rsidP="00993DF3">
      <w:pPr>
        <w:pStyle w:val="NoSpacing"/>
        <w:spacing w:line="276" w:lineRule="auto"/>
        <w:rPr>
          <w:rFonts w:eastAsiaTheme="minorHAnsi"/>
          <w:sz w:val="24"/>
          <w:lang w:eastAsia="ko-KR"/>
        </w:rPr>
      </w:pPr>
      <w:proofErr w:type="spellStart"/>
      <w:r>
        <w:rPr>
          <w:rFonts w:eastAsiaTheme="minorHAnsi"/>
          <w:sz w:val="24"/>
          <w:lang w:eastAsia="ko-KR"/>
        </w:rPr>
        <w:t>Acetonitrile</w:t>
      </w:r>
      <w:proofErr w:type="spellEnd"/>
      <w:r>
        <w:rPr>
          <w:rFonts w:eastAsiaTheme="minorHAnsi"/>
          <w:sz w:val="24"/>
          <w:lang w:eastAsia="ko-KR"/>
        </w:rPr>
        <w:t xml:space="preserve"> has an experimental Hildebrand solubility parameter of 11.92 as seen in </w:t>
      </w:r>
      <w:fldSimple w:instr=" REF _Ref250300498 \h  \* MERGEFORMAT ">
        <w:r w:rsidRPr="00993DF3">
          <w:rPr>
            <w:rFonts w:eastAsiaTheme="minorHAnsi"/>
            <w:sz w:val="24"/>
            <w:lang w:eastAsia="ko-KR"/>
          </w:rPr>
          <w:t>Table 1</w:t>
        </w:r>
      </w:fldSimple>
      <w:r>
        <w:rPr>
          <w:rFonts w:eastAsiaTheme="minorHAnsi"/>
          <w:sz w:val="24"/>
          <w:lang w:eastAsia="ko-KR"/>
        </w:rPr>
        <w:t xml:space="preserve">. DMF is the closest with an experimental Hildebrand solubility parameter of 11.97, whereas DCM and toluene have solubility parameters of 10.89 and 9.56 respectively. </w:t>
      </w:r>
    </w:p>
    <w:p w:rsidR="00993DF3" w:rsidRDefault="00993DF3" w:rsidP="0036415A">
      <w:pPr>
        <w:pStyle w:val="NoSpacing"/>
        <w:spacing w:line="276" w:lineRule="auto"/>
        <w:rPr>
          <w:rFonts w:eastAsiaTheme="minorHAnsi"/>
          <w:sz w:val="24"/>
          <w:lang w:eastAsia="ko-KR"/>
        </w:rPr>
      </w:pPr>
    </w:p>
    <w:tbl>
      <w:tblPr>
        <w:tblStyle w:val="TableGrid"/>
        <w:tblW w:w="7196" w:type="dxa"/>
        <w:jc w:val="center"/>
        <w:tblLook w:val="04A0"/>
      </w:tblPr>
      <w:tblGrid>
        <w:gridCol w:w="2019"/>
        <w:gridCol w:w="2767"/>
        <w:gridCol w:w="2410"/>
      </w:tblGrid>
      <w:tr w:rsidR="00993DF3" w:rsidTr="00993DF3">
        <w:trPr>
          <w:trHeight w:val="562"/>
          <w:jc w:val="center"/>
        </w:trPr>
        <w:tc>
          <w:tcPr>
            <w:tcW w:w="2019" w:type="dxa"/>
            <w:vAlign w:val="center"/>
          </w:tcPr>
          <w:p w:rsidR="00993DF3" w:rsidRPr="00103EB3" w:rsidRDefault="00993DF3" w:rsidP="00993DF3">
            <w:pPr>
              <w:jc w:val="center"/>
              <w:rPr>
                <w:b/>
                <w:bCs/>
              </w:rPr>
            </w:pPr>
            <w:r w:rsidRPr="00103EB3">
              <w:rPr>
                <w:b/>
                <w:bCs/>
              </w:rPr>
              <w:t>Solvent</w:t>
            </w:r>
          </w:p>
        </w:tc>
        <w:tc>
          <w:tcPr>
            <w:tcW w:w="2767" w:type="dxa"/>
            <w:vAlign w:val="center"/>
          </w:tcPr>
          <w:p w:rsidR="00993DF3" w:rsidRPr="00103EB3" w:rsidRDefault="00993DF3" w:rsidP="00993DF3">
            <w:pPr>
              <w:jc w:val="center"/>
              <w:rPr>
                <w:rFonts w:cs="Times-Roman"/>
                <w:b/>
                <w:bCs/>
                <w:lang w:val="en-US"/>
              </w:rPr>
            </w:pPr>
            <w:r w:rsidRPr="00103EB3">
              <w:rPr>
                <w:b/>
                <w:bCs/>
              </w:rPr>
              <w:t xml:space="preserve">Calculated Solubility Parameter </w:t>
            </w:r>
            <w:r>
              <w:rPr>
                <w:b/>
                <w:bCs/>
              </w:rPr>
              <w:t xml:space="preserve">in </w:t>
            </w:r>
            <w:r>
              <w:rPr>
                <w:rFonts w:cs="Times-Roman"/>
                <w:b/>
                <w:bCs/>
                <w:lang w:val="en-US"/>
              </w:rPr>
              <w:t>units of</w:t>
            </w:r>
            <w:r w:rsidRPr="00103EB3">
              <w:rPr>
                <w:rFonts w:cs="Times-Roman"/>
                <w:b/>
                <w:bCs/>
                <w:lang w:val="en-US"/>
              </w:rPr>
              <w:t xml:space="preserve"> (cal/cc)</w:t>
            </w:r>
            <w:r w:rsidRPr="00103EB3">
              <w:rPr>
                <w:rFonts w:cs="Times-Roman"/>
                <w:b/>
                <w:bCs/>
                <w:vertAlign w:val="superscript"/>
                <w:lang w:val="en-US"/>
              </w:rPr>
              <w:t>1/2</w:t>
            </w:r>
          </w:p>
          <w:p w:rsidR="00993DF3" w:rsidRPr="00103EB3" w:rsidRDefault="00993DF3" w:rsidP="00993DF3">
            <w:pPr>
              <w:jc w:val="center"/>
              <w:rPr>
                <w:b/>
                <w:bCs/>
              </w:rPr>
            </w:pPr>
          </w:p>
        </w:tc>
        <w:tc>
          <w:tcPr>
            <w:tcW w:w="2410" w:type="dxa"/>
            <w:vAlign w:val="center"/>
          </w:tcPr>
          <w:p w:rsidR="00993DF3" w:rsidRPr="00993DF3" w:rsidRDefault="00993DF3" w:rsidP="00993DF3">
            <w:pPr>
              <w:jc w:val="center"/>
              <w:rPr>
                <w:rFonts w:cs="Times-Roman"/>
                <w:b/>
                <w:bCs/>
                <w:lang w:val="en-US"/>
              </w:rPr>
            </w:pPr>
            <w:r w:rsidRPr="00103EB3">
              <w:rPr>
                <w:b/>
                <w:bCs/>
              </w:rPr>
              <w:t xml:space="preserve">Experimental Solubility Parameter </w:t>
            </w:r>
            <w:r>
              <w:rPr>
                <w:b/>
                <w:bCs/>
              </w:rPr>
              <w:t xml:space="preserve">in units of </w:t>
            </w:r>
            <w:r w:rsidRPr="00103EB3">
              <w:rPr>
                <w:rFonts w:cs="Times-Roman"/>
                <w:b/>
                <w:bCs/>
                <w:lang w:val="en-US"/>
              </w:rPr>
              <w:t>(cal/cc)</w:t>
            </w:r>
            <w:r w:rsidRPr="00103EB3">
              <w:rPr>
                <w:rFonts w:cs="Times-Roman"/>
                <w:b/>
                <w:bCs/>
                <w:vertAlign w:val="superscript"/>
                <w:lang w:val="en-US"/>
              </w:rPr>
              <w:t>1/2</w:t>
            </w:r>
          </w:p>
        </w:tc>
      </w:tr>
      <w:tr w:rsidR="00993DF3" w:rsidTr="00993DF3">
        <w:trPr>
          <w:jc w:val="center"/>
        </w:trPr>
        <w:tc>
          <w:tcPr>
            <w:tcW w:w="2019" w:type="dxa"/>
          </w:tcPr>
          <w:p w:rsidR="00993DF3" w:rsidRPr="00993DF3" w:rsidRDefault="00993DF3" w:rsidP="008B1931">
            <w:proofErr w:type="spellStart"/>
            <w:r w:rsidRPr="00993DF3">
              <w:rPr>
                <w:lang w:val="en-US"/>
              </w:rPr>
              <w:t>Acetonitrile</w:t>
            </w:r>
            <w:proofErr w:type="spellEnd"/>
          </w:p>
        </w:tc>
        <w:tc>
          <w:tcPr>
            <w:tcW w:w="2767" w:type="dxa"/>
            <w:vAlign w:val="center"/>
          </w:tcPr>
          <w:p w:rsidR="00993DF3" w:rsidRPr="001E7E12" w:rsidRDefault="00993DF3" w:rsidP="008B1931">
            <w:pPr>
              <w:jc w:val="center"/>
            </w:pPr>
            <w:r w:rsidRPr="001E7E12">
              <w:rPr>
                <w:lang w:val="en-US"/>
              </w:rPr>
              <w:t>12.49</w:t>
            </w:r>
          </w:p>
        </w:tc>
        <w:tc>
          <w:tcPr>
            <w:tcW w:w="2410" w:type="dxa"/>
            <w:vAlign w:val="center"/>
          </w:tcPr>
          <w:p w:rsidR="00993DF3" w:rsidRPr="001E7E12" w:rsidRDefault="00993DF3" w:rsidP="008B1931">
            <w:pPr>
              <w:jc w:val="center"/>
            </w:pPr>
            <w:r w:rsidRPr="001E7E12">
              <w:rPr>
                <w:lang w:val="en-US"/>
              </w:rPr>
              <w:t>11.92</w:t>
            </w:r>
          </w:p>
        </w:tc>
      </w:tr>
      <w:tr w:rsidR="00993DF3" w:rsidTr="00993DF3">
        <w:trPr>
          <w:jc w:val="center"/>
        </w:trPr>
        <w:tc>
          <w:tcPr>
            <w:tcW w:w="2019" w:type="dxa"/>
          </w:tcPr>
          <w:p w:rsidR="00993DF3" w:rsidRPr="00993DF3" w:rsidRDefault="00993DF3" w:rsidP="008B1931">
            <w:proofErr w:type="spellStart"/>
            <w:r w:rsidRPr="00993DF3">
              <w:rPr>
                <w:lang w:val="en-US"/>
              </w:rPr>
              <w:t>Tetrahydrofuran</w:t>
            </w:r>
            <w:proofErr w:type="spellEnd"/>
          </w:p>
        </w:tc>
        <w:tc>
          <w:tcPr>
            <w:tcW w:w="2767" w:type="dxa"/>
            <w:vAlign w:val="center"/>
          </w:tcPr>
          <w:p w:rsidR="00993DF3" w:rsidRPr="001E7E12" w:rsidRDefault="00993DF3" w:rsidP="008B1931">
            <w:pPr>
              <w:jc w:val="center"/>
            </w:pPr>
            <w:r w:rsidRPr="001E7E12">
              <w:rPr>
                <w:lang w:val="en-US"/>
              </w:rPr>
              <w:t>11.44</w:t>
            </w:r>
          </w:p>
        </w:tc>
        <w:tc>
          <w:tcPr>
            <w:tcW w:w="2410" w:type="dxa"/>
            <w:vAlign w:val="center"/>
          </w:tcPr>
          <w:p w:rsidR="00993DF3" w:rsidRPr="001E7E12" w:rsidRDefault="00993DF3" w:rsidP="008B1931">
            <w:pPr>
              <w:jc w:val="center"/>
            </w:pPr>
            <w:r w:rsidRPr="001E7E12">
              <w:rPr>
                <w:lang w:val="en-US"/>
              </w:rPr>
              <w:t>9.10</w:t>
            </w:r>
          </w:p>
        </w:tc>
      </w:tr>
      <w:tr w:rsidR="00993DF3" w:rsidTr="00993DF3">
        <w:trPr>
          <w:jc w:val="center"/>
        </w:trPr>
        <w:tc>
          <w:tcPr>
            <w:tcW w:w="2019" w:type="dxa"/>
          </w:tcPr>
          <w:p w:rsidR="00993DF3" w:rsidRPr="00993DF3" w:rsidRDefault="00993DF3" w:rsidP="008B1931">
            <w:r w:rsidRPr="00993DF3">
              <w:rPr>
                <w:lang w:val="en-US"/>
              </w:rPr>
              <w:t xml:space="preserve">Acetone </w:t>
            </w:r>
          </w:p>
        </w:tc>
        <w:tc>
          <w:tcPr>
            <w:tcW w:w="2767" w:type="dxa"/>
            <w:vAlign w:val="center"/>
          </w:tcPr>
          <w:p w:rsidR="00993DF3" w:rsidRPr="001E7E12" w:rsidRDefault="00993DF3" w:rsidP="008B1931">
            <w:pPr>
              <w:jc w:val="center"/>
            </w:pPr>
            <w:r w:rsidRPr="001E7E12">
              <w:rPr>
                <w:lang w:val="en-US"/>
              </w:rPr>
              <w:t>10.79</w:t>
            </w:r>
          </w:p>
        </w:tc>
        <w:tc>
          <w:tcPr>
            <w:tcW w:w="2410" w:type="dxa"/>
            <w:vAlign w:val="center"/>
          </w:tcPr>
          <w:p w:rsidR="00993DF3" w:rsidRPr="001E7E12" w:rsidRDefault="00993DF3" w:rsidP="008B1931">
            <w:pPr>
              <w:jc w:val="center"/>
            </w:pPr>
            <w:r w:rsidRPr="001E7E12">
              <w:rPr>
                <w:lang w:val="en-US"/>
              </w:rPr>
              <w:t>9.77</w:t>
            </w:r>
          </w:p>
        </w:tc>
      </w:tr>
      <w:tr w:rsidR="00993DF3" w:rsidTr="00993DF3">
        <w:trPr>
          <w:jc w:val="center"/>
        </w:trPr>
        <w:tc>
          <w:tcPr>
            <w:tcW w:w="2019" w:type="dxa"/>
          </w:tcPr>
          <w:p w:rsidR="00993DF3" w:rsidRPr="00993DF3" w:rsidRDefault="00993DF3" w:rsidP="008B1931">
            <w:proofErr w:type="spellStart"/>
            <w:r w:rsidRPr="00993DF3">
              <w:rPr>
                <w:lang w:val="en-US"/>
              </w:rPr>
              <w:t>Dimethylformamide</w:t>
            </w:r>
            <w:proofErr w:type="spellEnd"/>
          </w:p>
        </w:tc>
        <w:tc>
          <w:tcPr>
            <w:tcW w:w="2767" w:type="dxa"/>
            <w:vAlign w:val="center"/>
          </w:tcPr>
          <w:p w:rsidR="00993DF3" w:rsidRPr="001E7E12" w:rsidRDefault="00993DF3" w:rsidP="008B1931">
            <w:pPr>
              <w:jc w:val="center"/>
            </w:pPr>
            <w:r w:rsidRPr="001E7E12">
              <w:rPr>
                <w:lang w:val="en-US"/>
              </w:rPr>
              <w:t>11.95</w:t>
            </w:r>
          </w:p>
        </w:tc>
        <w:tc>
          <w:tcPr>
            <w:tcW w:w="2410" w:type="dxa"/>
            <w:vAlign w:val="center"/>
          </w:tcPr>
          <w:p w:rsidR="00993DF3" w:rsidRPr="001E7E12" w:rsidRDefault="00993DF3" w:rsidP="008B1931">
            <w:pPr>
              <w:jc w:val="center"/>
            </w:pPr>
            <w:r w:rsidRPr="001E7E12">
              <w:rPr>
                <w:lang w:val="en-US"/>
              </w:rPr>
              <w:t>11.97</w:t>
            </w:r>
          </w:p>
        </w:tc>
      </w:tr>
      <w:tr w:rsidR="00993DF3" w:rsidTr="00993DF3">
        <w:trPr>
          <w:jc w:val="center"/>
        </w:trPr>
        <w:tc>
          <w:tcPr>
            <w:tcW w:w="2019" w:type="dxa"/>
          </w:tcPr>
          <w:p w:rsidR="00993DF3" w:rsidRPr="00993DF3" w:rsidRDefault="00993DF3" w:rsidP="008B1931">
            <w:pPr>
              <w:rPr>
                <w:rFonts w:cs="Times-Roman"/>
                <w:lang w:val="en-US"/>
              </w:rPr>
            </w:pPr>
            <w:proofErr w:type="spellStart"/>
            <w:r w:rsidRPr="00993DF3">
              <w:rPr>
                <w:lang w:val="en-US"/>
              </w:rPr>
              <w:t>Dimethyl</w:t>
            </w:r>
            <w:proofErr w:type="spellEnd"/>
            <w:r w:rsidRPr="00993DF3">
              <w:rPr>
                <w:lang w:val="en-US"/>
              </w:rPr>
              <w:t xml:space="preserve"> </w:t>
            </w:r>
            <w:proofErr w:type="spellStart"/>
            <w:r w:rsidRPr="00993DF3">
              <w:rPr>
                <w:lang w:val="en-US"/>
              </w:rPr>
              <w:t>sulfoxide</w:t>
            </w:r>
            <w:proofErr w:type="spellEnd"/>
          </w:p>
        </w:tc>
        <w:tc>
          <w:tcPr>
            <w:tcW w:w="2767" w:type="dxa"/>
            <w:vAlign w:val="center"/>
          </w:tcPr>
          <w:p w:rsidR="00993DF3" w:rsidRPr="001E7E12" w:rsidRDefault="00993DF3" w:rsidP="008B1931">
            <w:pPr>
              <w:jc w:val="center"/>
              <w:rPr>
                <w:rFonts w:cs="Times-Roman"/>
                <w:lang w:val="en-US"/>
              </w:rPr>
            </w:pPr>
            <w:r w:rsidRPr="001E7E12">
              <w:rPr>
                <w:lang w:val="en-US"/>
              </w:rPr>
              <w:t>14.50</w:t>
            </w:r>
          </w:p>
        </w:tc>
        <w:tc>
          <w:tcPr>
            <w:tcW w:w="2410" w:type="dxa"/>
            <w:vAlign w:val="center"/>
          </w:tcPr>
          <w:p w:rsidR="00993DF3" w:rsidRPr="001E7E12" w:rsidRDefault="00993DF3" w:rsidP="008B1931">
            <w:pPr>
              <w:jc w:val="center"/>
              <w:rPr>
                <w:lang w:val="en-US"/>
              </w:rPr>
            </w:pPr>
            <w:r w:rsidRPr="001E7E12">
              <w:rPr>
                <w:lang w:val="en-US"/>
              </w:rPr>
              <w:t>14.71</w:t>
            </w:r>
          </w:p>
        </w:tc>
      </w:tr>
      <w:tr w:rsidR="00993DF3" w:rsidTr="00993DF3">
        <w:trPr>
          <w:jc w:val="center"/>
        </w:trPr>
        <w:tc>
          <w:tcPr>
            <w:tcW w:w="2019" w:type="dxa"/>
          </w:tcPr>
          <w:p w:rsidR="00993DF3" w:rsidRPr="00993DF3" w:rsidRDefault="00993DF3" w:rsidP="008B1931">
            <w:pPr>
              <w:rPr>
                <w:lang w:val="en-US"/>
              </w:rPr>
            </w:pPr>
            <w:r w:rsidRPr="0036415A">
              <w:rPr>
                <w:rFonts w:eastAsiaTheme="minorHAnsi"/>
                <w:sz w:val="24"/>
              </w:rPr>
              <w:t>Dichloromethane</w:t>
            </w:r>
          </w:p>
        </w:tc>
        <w:tc>
          <w:tcPr>
            <w:tcW w:w="2767" w:type="dxa"/>
            <w:vAlign w:val="center"/>
          </w:tcPr>
          <w:p w:rsidR="00993DF3" w:rsidRPr="001E7E12" w:rsidRDefault="00993DF3" w:rsidP="008B1931">
            <w:pPr>
              <w:jc w:val="center"/>
              <w:rPr>
                <w:lang w:val="en-US"/>
              </w:rPr>
            </w:pPr>
            <w:r>
              <w:rPr>
                <w:lang w:val="en-US"/>
              </w:rPr>
              <w:t>12.17</w:t>
            </w:r>
          </w:p>
        </w:tc>
        <w:tc>
          <w:tcPr>
            <w:tcW w:w="2410" w:type="dxa"/>
            <w:vAlign w:val="center"/>
          </w:tcPr>
          <w:p w:rsidR="00993DF3" w:rsidRPr="001E7E12" w:rsidRDefault="00993DF3" w:rsidP="008B1931">
            <w:pPr>
              <w:jc w:val="center"/>
              <w:rPr>
                <w:lang w:val="en-US"/>
              </w:rPr>
            </w:pPr>
            <w:r>
              <w:rPr>
                <w:lang w:val="en-US"/>
              </w:rPr>
              <w:t>10.89</w:t>
            </w:r>
          </w:p>
        </w:tc>
      </w:tr>
      <w:tr w:rsidR="00993DF3" w:rsidTr="00993DF3">
        <w:trPr>
          <w:jc w:val="center"/>
        </w:trPr>
        <w:tc>
          <w:tcPr>
            <w:tcW w:w="2019" w:type="dxa"/>
          </w:tcPr>
          <w:p w:rsidR="00993DF3" w:rsidRPr="0036415A" w:rsidRDefault="00993DF3" w:rsidP="008B1931">
            <w:r>
              <w:t>Toluene</w:t>
            </w:r>
          </w:p>
        </w:tc>
        <w:tc>
          <w:tcPr>
            <w:tcW w:w="2767" w:type="dxa"/>
            <w:vAlign w:val="center"/>
          </w:tcPr>
          <w:p w:rsidR="00993DF3" w:rsidRPr="001E7E12" w:rsidRDefault="00993DF3" w:rsidP="008B1931">
            <w:pPr>
              <w:jc w:val="center"/>
              <w:rPr>
                <w:lang w:val="en-US"/>
              </w:rPr>
            </w:pPr>
            <w:r>
              <w:rPr>
                <w:lang w:val="en-US"/>
              </w:rPr>
              <w:t>11.56</w:t>
            </w:r>
          </w:p>
        </w:tc>
        <w:tc>
          <w:tcPr>
            <w:tcW w:w="2410" w:type="dxa"/>
            <w:vAlign w:val="center"/>
          </w:tcPr>
          <w:p w:rsidR="00993DF3" w:rsidRDefault="00993DF3" w:rsidP="008B1931">
            <w:pPr>
              <w:jc w:val="center"/>
              <w:rPr>
                <w:lang w:val="en-US"/>
              </w:rPr>
            </w:pPr>
            <w:r>
              <w:rPr>
                <w:lang w:val="en-US"/>
              </w:rPr>
              <w:t>9.56</w:t>
            </w:r>
          </w:p>
        </w:tc>
      </w:tr>
    </w:tbl>
    <w:p w:rsidR="00993DF3" w:rsidRPr="00103EB3" w:rsidRDefault="00993DF3" w:rsidP="00993DF3">
      <w:pPr>
        <w:pStyle w:val="Caption"/>
        <w:keepNext/>
        <w:jc w:val="center"/>
        <w:rPr>
          <w:color w:val="auto"/>
        </w:rPr>
      </w:pPr>
      <w:bookmarkStart w:id="0" w:name="_Ref250300498"/>
      <w:r w:rsidRPr="00103EB3">
        <w:rPr>
          <w:color w:val="auto"/>
        </w:rPr>
        <w:t xml:space="preserve">Table </w:t>
      </w:r>
      <w:r w:rsidR="004345B6" w:rsidRPr="00103EB3">
        <w:rPr>
          <w:color w:val="auto"/>
        </w:rPr>
        <w:fldChar w:fldCharType="begin"/>
      </w:r>
      <w:r w:rsidRPr="00103EB3">
        <w:rPr>
          <w:color w:val="auto"/>
        </w:rPr>
        <w:instrText xml:space="preserve"> SEQ Table \* ARABIC </w:instrText>
      </w:r>
      <w:r w:rsidR="004345B6" w:rsidRPr="00103EB3">
        <w:rPr>
          <w:color w:val="auto"/>
        </w:rPr>
        <w:fldChar w:fldCharType="separate"/>
      </w:r>
      <w:r w:rsidR="00076756">
        <w:rPr>
          <w:noProof/>
          <w:color w:val="auto"/>
        </w:rPr>
        <w:t>1</w:t>
      </w:r>
      <w:r w:rsidR="004345B6" w:rsidRPr="00103EB3">
        <w:rPr>
          <w:color w:val="auto"/>
        </w:rPr>
        <w:fldChar w:fldCharType="end"/>
      </w:r>
      <w:bookmarkEnd w:id="0"/>
      <w:r w:rsidRPr="00103EB3">
        <w:rPr>
          <w:color w:val="auto"/>
        </w:rPr>
        <w:t xml:space="preserve"> Solubility Parameter for Various Solvents</w:t>
      </w:r>
    </w:p>
    <w:p w:rsidR="00993DF3" w:rsidRPr="0036415A" w:rsidRDefault="00993DF3" w:rsidP="0036415A">
      <w:pPr>
        <w:pStyle w:val="NoSpacing"/>
        <w:spacing w:line="276" w:lineRule="auto"/>
        <w:rPr>
          <w:rFonts w:eastAsiaTheme="minorHAnsi"/>
          <w:sz w:val="24"/>
          <w:lang w:eastAsia="ko-KR"/>
        </w:rPr>
      </w:pPr>
      <w:r>
        <w:rPr>
          <w:rFonts w:eastAsiaTheme="minorHAnsi"/>
          <w:sz w:val="24"/>
          <w:lang w:eastAsia="ko-KR"/>
        </w:rPr>
        <w:t xml:space="preserve">Since DMF has the closest solubility parameter to that of </w:t>
      </w:r>
      <w:proofErr w:type="spellStart"/>
      <w:r>
        <w:rPr>
          <w:rFonts w:eastAsiaTheme="minorHAnsi"/>
          <w:sz w:val="24"/>
          <w:lang w:eastAsia="ko-KR"/>
        </w:rPr>
        <w:t>acetonitrile</w:t>
      </w:r>
      <w:proofErr w:type="spellEnd"/>
      <w:r>
        <w:rPr>
          <w:rFonts w:eastAsiaTheme="minorHAnsi"/>
          <w:sz w:val="24"/>
          <w:lang w:eastAsia="ko-KR"/>
        </w:rPr>
        <w:t xml:space="preserve">, we would expect it to perform the closest to the performance achieved by </w:t>
      </w:r>
      <w:proofErr w:type="spellStart"/>
      <w:r>
        <w:rPr>
          <w:rFonts w:eastAsiaTheme="minorHAnsi"/>
          <w:sz w:val="24"/>
          <w:lang w:eastAsia="ko-KR"/>
        </w:rPr>
        <w:t>acetonitrile</w:t>
      </w:r>
      <w:proofErr w:type="spellEnd"/>
      <w:r>
        <w:rPr>
          <w:rFonts w:eastAsiaTheme="minorHAnsi"/>
          <w:sz w:val="24"/>
          <w:lang w:eastAsia="ko-KR"/>
        </w:rPr>
        <w:t xml:space="preserve"> in this lab.</w:t>
      </w:r>
    </w:p>
    <w:p w:rsidR="0036415A" w:rsidRDefault="0036415A" w:rsidP="00103EB3">
      <w:pPr>
        <w:pStyle w:val="NoSpacing"/>
        <w:spacing w:line="276" w:lineRule="auto"/>
        <w:rPr>
          <w:rFonts w:eastAsiaTheme="minorHAnsi"/>
          <w:sz w:val="24"/>
          <w:lang w:eastAsia="ko-KR"/>
        </w:rPr>
      </w:pPr>
    </w:p>
    <w:p w:rsidR="000C58D7" w:rsidRPr="00103EB3" w:rsidRDefault="000C58D7" w:rsidP="00944DC8">
      <w:pPr>
        <w:pStyle w:val="NoSpacing"/>
        <w:spacing w:line="276" w:lineRule="auto"/>
        <w:rPr>
          <w:rFonts w:eastAsiaTheme="minorHAnsi"/>
          <w:sz w:val="24"/>
          <w:lang w:eastAsia="ko-KR"/>
        </w:rPr>
      </w:pPr>
      <w:r w:rsidRPr="00103EB3">
        <w:rPr>
          <w:rFonts w:eastAsiaTheme="minorHAnsi"/>
          <w:sz w:val="24"/>
          <w:lang w:eastAsia="ko-KR"/>
        </w:rPr>
        <w:t>Theoretically, the less soluble the material is in water, the larger the particle size</w:t>
      </w:r>
      <w:r w:rsidR="009E77F6" w:rsidRPr="00103EB3">
        <w:rPr>
          <w:rFonts w:eastAsiaTheme="minorHAnsi"/>
          <w:sz w:val="24"/>
          <w:lang w:eastAsia="ko-KR"/>
        </w:rPr>
        <w:t xml:space="preserve">. </w:t>
      </w:r>
      <w:r w:rsidRPr="00103EB3">
        <w:rPr>
          <w:rFonts w:eastAsiaTheme="minorHAnsi"/>
          <w:sz w:val="24"/>
          <w:lang w:eastAsia="ko-KR"/>
        </w:rPr>
        <w:t xml:space="preserve"> </w:t>
      </w:r>
      <w:proofErr w:type="gramStart"/>
      <w:r w:rsidRPr="00103EB3">
        <w:rPr>
          <w:rFonts w:eastAsiaTheme="minorHAnsi"/>
          <w:sz w:val="24"/>
          <w:lang w:eastAsia="ko-KR"/>
        </w:rPr>
        <w:t>Therefore, the higher the Hildebrand s</w:t>
      </w:r>
      <w:r w:rsidR="00103EB3" w:rsidRPr="00103EB3">
        <w:rPr>
          <w:rFonts w:eastAsiaTheme="minorHAnsi"/>
          <w:sz w:val="24"/>
          <w:lang w:eastAsia="ko-KR"/>
        </w:rPr>
        <w:t>olubility parameter respective</w:t>
      </w:r>
      <w:r w:rsidRPr="00103EB3">
        <w:rPr>
          <w:rFonts w:eastAsiaTheme="minorHAnsi"/>
          <w:sz w:val="24"/>
          <w:lang w:eastAsia="ko-KR"/>
        </w:rPr>
        <w:t xml:space="preserve"> to other solvents, the smaller the mean diameter</w:t>
      </w:r>
      <w:r w:rsidR="009E77F6" w:rsidRPr="00103EB3">
        <w:rPr>
          <w:rFonts w:eastAsiaTheme="minorHAnsi"/>
          <w:sz w:val="24"/>
          <w:lang w:eastAsia="ko-KR"/>
        </w:rPr>
        <w:t>.</w:t>
      </w:r>
      <w:proofErr w:type="gramEnd"/>
      <w:r w:rsidR="009E77F6" w:rsidRPr="00103EB3">
        <w:rPr>
          <w:rFonts w:eastAsiaTheme="minorHAnsi"/>
          <w:sz w:val="24"/>
          <w:lang w:eastAsia="ko-KR"/>
        </w:rPr>
        <w:t xml:space="preserve"> </w:t>
      </w:r>
      <w:r w:rsidRPr="00103EB3">
        <w:rPr>
          <w:rFonts w:eastAsiaTheme="minorHAnsi"/>
          <w:sz w:val="24"/>
          <w:lang w:eastAsia="ko-KR"/>
        </w:rPr>
        <w:t xml:space="preserve"> </w:t>
      </w:r>
      <w:r w:rsidR="00993DF3">
        <w:rPr>
          <w:rFonts w:eastAsiaTheme="minorHAnsi"/>
          <w:sz w:val="24"/>
          <w:lang w:eastAsia="ko-KR"/>
        </w:rPr>
        <w:t>Thus</w:t>
      </w:r>
      <w:r w:rsidRPr="00103EB3">
        <w:rPr>
          <w:rFonts w:eastAsiaTheme="minorHAnsi"/>
          <w:sz w:val="24"/>
          <w:lang w:eastAsia="ko-KR"/>
        </w:rPr>
        <w:t>,</w:t>
      </w:r>
      <w:r w:rsidR="00993DF3">
        <w:rPr>
          <w:rFonts w:eastAsiaTheme="minorHAnsi"/>
          <w:sz w:val="24"/>
          <w:lang w:eastAsia="ko-KR"/>
        </w:rPr>
        <w:t xml:space="preserve"> we expect </w:t>
      </w:r>
      <w:r w:rsidR="00944DC8">
        <w:rPr>
          <w:rFonts w:eastAsiaTheme="minorHAnsi"/>
          <w:sz w:val="24"/>
          <w:lang w:eastAsia="ko-KR"/>
        </w:rPr>
        <w:t xml:space="preserve">DMF to have about the same particle size relative to </w:t>
      </w:r>
      <w:proofErr w:type="spellStart"/>
      <w:r w:rsidR="00944DC8">
        <w:rPr>
          <w:rFonts w:eastAsiaTheme="minorHAnsi"/>
          <w:sz w:val="24"/>
          <w:lang w:eastAsia="ko-KR"/>
        </w:rPr>
        <w:t>acetonitrile</w:t>
      </w:r>
      <w:proofErr w:type="spellEnd"/>
      <w:r w:rsidR="00944DC8">
        <w:rPr>
          <w:rFonts w:eastAsiaTheme="minorHAnsi"/>
          <w:sz w:val="24"/>
          <w:lang w:eastAsia="ko-KR"/>
        </w:rPr>
        <w:t xml:space="preserve">, while we expect </w:t>
      </w:r>
      <w:r w:rsidRPr="00103EB3">
        <w:rPr>
          <w:rFonts w:eastAsiaTheme="minorHAnsi"/>
          <w:sz w:val="24"/>
          <w:lang w:eastAsia="ko-KR"/>
        </w:rPr>
        <w:t xml:space="preserve">DCM and </w:t>
      </w:r>
      <w:r w:rsidR="00993DF3">
        <w:rPr>
          <w:rFonts w:eastAsiaTheme="minorHAnsi"/>
          <w:sz w:val="24"/>
          <w:lang w:eastAsia="ko-KR"/>
        </w:rPr>
        <w:t>t</w:t>
      </w:r>
      <w:r w:rsidRPr="00103EB3">
        <w:rPr>
          <w:rFonts w:eastAsiaTheme="minorHAnsi"/>
          <w:sz w:val="24"/>
          <w:lang w:eastAsia="ko-KR"/>
        </w:rPr>
        <w:t xml:space="preserve">oluene </w:t>
      </w:r>
      <w:r w:rsidR="00993DF3">
        <w:rPr>
          <w:rFonts w:eastAsiaTheme="minorHAnsi"/>
          <w:sz w:val="24"/>
          <w:lang w:eastAsia="ko-KR"/>
        </w:rPr>
        <w:t xml:space="preserve">to have </w:t>
      </w:r>
      <w:r w:rsidRPr="00103EB3">
        <w:rPr>
          <w:rFonts w:eastAsiaTheme="minorHAnsi"/>
          <w:sz w:val="24"/>
          <w:lang w:eastAsia="ko-KR"/>
        </w:rPr>
        <w:t xml:space="preserve">larger mean particle sizes </w:t>
      </w:r>
      <w:r w:rsidR="00993DF3">
        <w:rPr>
          <w:rFonts w:eastAsiaTheme="minorHAnsi"/>
          <w:sz w:val="24"/>
          <w:lang w:eastAsia="ko-KR"/>
        </w:rPr>
        <w:t xml:space="preserve">relative to </w:t>
      </w:r>
      <w:proofErr w:type="spellStart"/>
      <w:r w:rsidR="00944DC8">
        <w:rPr>
          <w:rFonts w:eastAsiaTheme="minorHAnsi"/>
          <w:sz w:val="24"/>
          <w:lang w:eastAsia="ko-KR"/>
        </w:rPr>
        <w:t>acetonitrile</w:t>
      </w:r>
      <w:proofErr w:type="spellEnd"/>
      <w:r w:rsidR="00944DC8">
        <w:rPr>
          <w:rFonts w:eastAsiaTheme="minorHAnsi"/>
          <w:sz w:val="24"/>
          <w:lang w:eastAsia="ko-KR"/>
        </w:rPr>
        <w:t xml:space="preserve"> since these solvents</w:t>
      </w:r>
      <w:r w:rsidR="00993DF3">
        <w:rPr>
          <w:rFonts w:eastAsiaTheme="minorHAnsi"/>
          <w:sz w:val="24"/>
          <w:lang w:eastAsia="ko-KR"/>
        </w:rPr>
        <w:t xml:space="preserve"> have </w:t>
      </w:r>
      <w:r w:rsidR="00944DC8">
        <w:rPr>
          <w:rFonts w:eastAsiaTheme="minorHAnsi"/>
          <w:sz w:val="24"/>
          <w:lang w:eastAsia="ko-KR"/>
        </w:rPr>
        <w:t>smaller Hildebrand solubility parameter values.</w:t>
      </w:r>
    </w:p>
    <w:p w:rsidR="000C58D7" w:rsidRPr="00103EB3" w:rsidRDefault="000C58D7" w:rsidP="00103EB3">
      <w:pPr>
        <w:pStyle w:val="NoSpacing"/>
        <w:spacing w:line="276" w:lineRule="auto"/>
        <w:rPr>
          <w:rFonts w:eastAsiaTheme="minorHAnsi"/>
          <w:sz w:val="24"/>
          <w:lang w:eastAsia="ko-KR"/>
        </w:rPr>
      </w:pPr>
    </w:p>
    <w:p w:rsidR="000C58D7" w:rsidRPr="009E77F6" w:rsidRDefault="000C58D7" w:rsidP="000C58D7">
      <w:pPr>
        <w:rPr>
          <w:b/>
          <w:bCs/>
          <w:sz w:val="28"/>
          <w:szCs w:val="28"/>
        </w:rPr>
      </w:pPr>
      <w:r w:rsidRPr="009E77F6">
        <w:rPr>
          <w:rFonts w:hint="eastAsia"/>
          <w:b/>
          <w:bCs/>
          <w:sz w:val="28"/>
          <w:szCs w:val="28"/>
        </w:rPr>
        <w:t xml:space="preserve">Question </w:t>
      </w:r>
      <w:r w:rsidRPr="009E77F6">
        <w:rPr>
          <w:b/>
          <w:bCs/>
          <w:sz w:val="28"/>
          <w:szCs w:val="28"/>
        </w:rPr>
        <w:t>3</w:t>
      </w:r>
    </w:p>
    <w:p w:rsidR="00DB2BD6" w:rsidRDefault="00DB2BD6" w:rsidP="00DB2BD6">
      <w:pPr>
        <w:rPr>
          <w:lang w:val="en-US"/>
        </w:rPr>
      </w:pPr>
      <w:r>
        <w:rPr>
          <w:lang w:val="en-US"/>
        </w:rPr>
        <w:t xml:space="preserve">The body has the ability to naturally rid itself of PEG (polyethylene glycol) but only when its molecular weight is over 1 </w:t>
      </w:r>
      <w:proofErr w:type="spellStart"/>
      <w:r>
        <w:rPr>
          <w:lang w:val="en-US"/>
        </w:rPr>
        <w:t>kDa</w:t>
      </w:r>
      <w:proofErr w:type="spellEnd"/>
      <w:r>
        <w:rPr>
          <w:lang w:val="en-US"/>
        </w:rPr>
        <w:t>. However, bigger PEG molecules are slower to break down</w:t>
      </w:r>
      <w:r w:rsidR="00D41374">
        <w:rPr>
          <w:lang w:val="en-US"/>
        </w:rPr>
        <w:t xml:space="preserve"> than smaller ones.</w:t>
      </w:r>
    </w:p>
    <w:p w:rsidR="00D41374" w:rsidRDefault="00D41374" w:rsidP="00D41374">
      <w:pPr>
        <w:rPr>
          <w:lang w:val="en-US"/>
        </w:rPr>
      </w:pPr>
      <w:r>
        <w:rPr>
          <w:lang w:val="en-US"/>
        </w:rPr>
        <w:lastRenderedPageBreak/>
        <w:t>PLGA (poly-lactic-co-glycolic acid), on the other hand, is broken down using a simple hydrolysis process. This process requires the presence of water which is always present in the body. We also know that PLGA is nothing but just an ester formed by the combination of PGA and PLA. The body already knows how to break down PGA into glycolic acid which can be eliminated from the body through direct excretion via the kidneys as urine. Similarly, the body also knows how to break down PLA into lactic acid which can be easily broken down in H</w:t>
      </w:r>
      <w:r w:rsidRPr="00D41374">
        <w:rPr>
          <w:vertAlign w:val="subscript"/>
          <w:lang w:val="en-US"/>
        </w:rPr>
        <w:t>2</w:t>
      </w:r>
      <w:r>
        <w:rPr>
          <w:lang w:val="en-US"/>
        </w:rPr>
        <w:t>0 and CO</w:t>
      </w:r>
      <w:r w:rsidRPr="00D41374">
        <w:rPr>
          <w:vertAlign w:val="subscript"/>
          <w:lang w:val="en-US"/>
        </w:rPr>
        <w:t>2</w:t>
      </w:r>
      <w:r>
        <w:rPr>
          <w:lang w:val="en-US"/>
        </w:rPr>
        <w:t>. The body can therefore break down PLGA, a combination of PGA and PLA, using hydrolysis at the ester bond formed between the PGA and PLA molecules.</w:t>
      </w:r>
    </w:p>
    <w:p w:rsidR="00D41374" w:rsidRDefault="00D41374" w:rsidP="00D41374">
      <w:r>
        <w:rPr>
          <w:lang w:val="en-US"/>
        </w:rPr>
        <w:t>The process of hydrolysis is simple: the H</w:t>
      </w:r>
      <w:r w:rsidRPr="00D41374">
        <w:rPr>
          <w:vertAlign w:val="superscript"/>
          <w:lang w:val="en-US"/>
        </w:rPr>
        <w:t>+</w:t>
      </w:r>
      <w:r>
        <w:rPr>
          <w:lang w:val="en-US"/>
        </w:rPr>
        <w:t xml:space="preserve"> ion from water attaches itself to the C=0—0 ester bond, whereas the OH</w:t>
      </w:r>
      <w:r w:rsidRPr="00D41374">
        <w:rPr>
          <w:vertAlign w:val="superscript"/>
          <w:lang w:val="en-US"/>
        </w:rPr>
        <w:t>-</w:t>
      </w:r>
      <w:r>
        <w:rPr>
          <w:lang w:val="en-US"/>
        </w:rPr>
        <w:t xml:space="preserve"> ion attaches itself to the carbon of that ester bond, as shown in the figure below. The byproducts of this process are lactic acid and glycolic acid which are easily broken down and eliminated as described in the paragraph above.</w:t>
      </w:r>
    </w:p>
    <w:p w:rsidR="000C58D7" w:rsidRDefault="000C58D7" w:rsidP="00103EB3">
      <w:pPr>
        <w:jc w:val="center"/>
        <w:rPr>
          <w:lang w:val="en-US"/>
        </w:rPr>
      </w:pPr>
      <w:r>
        <w:rPr>
          <w:noProof/>
          <w:lang w:eastAsia="en-CA"/>
        </w:rPr>
        <w:drawing>
          <wp:inline distT="0" distB="0" distL="0" distR="0">
            <wp:extent cx="4876800" cy="150941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80169" cy="1510454"/>
                    </a:xfrm>
                    <a:prstGeom prst="rect">
                      <a:avLst/>
                    </a:prstGeom>
                    <a:noFill/>
                    <a:ln w="9525">
                      <a:noFill/>
                      <a:miter lim="800000"/>
                      <a:headEnd/>
                      <a:tailEnd/>
                    </a:ln>
                  </pic:spPr>
                </pic:pic>
              </a:graphicData>
            </a:graphic>
          </wp:inline>
        </w:drawing>
      </w:r>
    </w:p>
    <w:p w:rsidR="000C58D7" w:rsidRPr="009E77F6" w:rsidRDefault="000C58D7" w:rsidP="000C58D7">
      <w:pPr>
        <w:rPr>
          <w:b/>
          <w:bCs/>
          <w:sz w:val="28"/>
          <w:szCs w:val="28"/>
        </w:rPr>
      </w:pPr>
      <w:r w:rsidRPr="009E77F6">
        <w:rPr>
          <w:rFonts w:hint="eastAsia"/>
          <w:b/>
          <w:bCs/>
          <w:sz w:val="28"/>
          <w:szCs w:val="28"/>
        </w:rPr>
        <w:t xml:space="preserve">Question </w:t>
      </w:r>
      <w:r w:rsidRPr="009E77F6">
        <w:rPr>
          <w:b/>
          <w:bCs/>
          <w:sz w:val="28"/>
          <w:szCs w:val="28"/>
        </w:rPr>
        <w:t>4</w:t>
      </w:r>
    </w:p>
    <w:p w:rsidR="000C58D7" w:rsidRPr="009E77F6" w:rsidRDefault="009E77F6" w:rsidP="00C87DCD">
      <w:pPr>
        <w:pStyle w:val="ListParagraph"/>
        <w:numPr>
          <w:ilvl w:val="0"/>
          <w:numId w:val="2"/>
        </w:numPr>
        <w:ind w:left="709" w:hanging="349"/>
        <w:rPr>
          <w:lang w:val="en-US"/>
        </w:rPr>
      </w:pPr>
      <w:r w:rsidRPr="004666F0">
        <w:rPr>
          <w:i/>
          <w:iCs/>
          <w:lang w:val="en-US"/>
        </w:rPr>
        <w:t>Recombinant</w:t>
      </w:r>
      <w:r w:rsidR="004666F0" w:rsidRPr="004666F0">
        <w:rPr>
          <w:i/>
          <w:iCs/>
          <w:lang w:val="en-US"/>
        </w:rPr>
        <w:t xml:space="preserve"> human insulin</w:t>
      </w:r>
      <w:r w:rsidR="004666F0">
        <w:rPr>
          <w:lang w:val="en-US"/>
        </w:rPr>
        <w:br/>
        <w:t>I would use d</w:t>
      </w:r>
      <w:r w:rsidR="000C58D7" w:rsidRPr="009E77F6">
        <w:rPr>
          <w:lang w:val="en-US"/>
        </w:rPr>
        <w:t xml:space="preserve">ouble </w:t>
      </w:r>
      <w:r w:rsidR="004666F0">
        <w:rPr>
          <w:lang w:val="en-US"/>
        </w:rPr>
        <w:t>e</w:t>
      </w:r>
      <w:r w:rsidR="000C58D7" w:rsidRPr="009E77F6">
        <w:rPr>
          <w:lang w:val="en-US"/>
        </w:rPr>
        <w:t xml:space="preserve">mulsion </w:t>
      </w:r>
      <w:r w:rsidR="004666F0">
        <w:rPr>
          <w:lang w:val="en-US"/>
        </w:rPr>
        <w:t xml:space="preserve">to </w:t>
      </w:r>
      <w:r w:rsidR="00951F59">
        <w:rPr>
          <w:lang w:val="en-US"/>
        </w:rPr>
        <w:t>encapsulate</w:t>
      </w:r>
      <w:r w:rsidR="004666F0">
        <w:rPr>
          <w:lang w:val="en-US"/>
        </w:rPr>
        <w:t xml:space="preserve"> this drug because i</w:t>
      </w:r>
      <w:r w:rsidR="000C58D7" w:rsidRPr="009E77F6">
        <w:rPr>
          <w:lang w:val="en-US"/>
        </w:rPr>
        <w:t>nsulin is large and hard to manufacture</w:t>
      </w:r>
      <w:r w:rsidRPr="009E77F6">
        <w:rPr>
          <w:lang w:val="en-US"/>
        </w:rPr>
        <w:t xml:space="preserve">. </w:t>
      </w:r>
      <w:r w:rsidR="00951F59">
        <w:rPr>
          <w:lang w:val="en-US"/>
        </w:rPr>
        <w:t xml:space="preserve">Therefore, we would prefer the technique that </w:t>
      </w:r>
      <w:r w:rsidR="00C87DCD">
        <w:rPr>
          <w:lang w:val="en-US"/>
        </w:rPr>
        <w:t xml:space="preserve">has </w:t>
      </w:r>
      <w:proofErr w:type="gramStart"/>
      <w:r w:rsidR="00C87DCD">
        <w:rPr>
          <w:lang w:val="en-US"/>
        </w:rPr>
        <w:t>a larger</w:t>
      </w:r>
      <w:proofErr w:type="gramEnd"/>
      <w:r w:rsidR="00C87DCD">
        <w:rPr>
          <w:lang w:val="en-US"/>
        </w:rPr>
        <w:t xml:space="preserve"> </w:t>
      </w:r>
      <w:r w:rsidR="00951F59">
        <w:rPr>
          <w:lang w:val="en-US"/>
        </w:rPr>
        <w:t>encapsulation</w:t>
      </w:r>
      <w:r w:rsidR="00C87DCD">
        <w:rPr>
          <w:lang w:val="en-US"/>
        </w:rPr>
        <w:t xml:space="preserve"> efficiency</w:t>
      </w:r>
      <w:r w:rsidR="00951F59">
        <w:rPr>
          <w:lang w:val="en-US"/>
        </w:rPr>
        <w:t>.</w:t>
      </w:r>
    </w:p>
    <w:p w:rsidR="000C58D7" w:rsidRPr="009E77F6" w:rsidRDefault="009E77F6" w:rsidP="00951F59">
      <w:pPr>
        <w:pStyle w:val="ListParagraph"/>
        <w:numPr>
          <w:ilvl w:val="0"/>
          <w:numId w:val="2"/>
        </w:numPr>
        <w:ind w:left="709" w:hanging="349"/>
        <w:rPr>
          <w:lang w:val="en-US"/>
        </w:rPr>
      </w:pPr>
      <w:proofErr w:type="spellStart"/>
      <w:r w:rsidRPr="004666F0">
        <w:rPr>
          <w:i/>
          <w:iCs/>
          <w:lang w:val="en-US"/>
        </w:rPr>
        <w:t>Rhodamine</w:t>
      </w:r>
      <w:proofErr w:type="spellEnd"/>
      <w:r w:rsidRPr="004666F0">
        <w:rPr>
          <w:i/>
          <w:iCs/>
          <w:lang w:val="en-US"/>
        </w:rPr>
        <w:t xml:space="preserve"> </w:t>
      </w:r>
      <w:proofErr w:type="spellStart"/>
      <w:r w:rsidRPr="004666F0">
        <w:rPr>
          <w:i/>
          <w:iCs/>
          <w:lang w:val="en-US"/>
        </w:rPr>
        <w:t>labelled</w:t>
      </w:r>
      <w:proofErr w:type="spellEnd"/>
      <w:r w:rsidRPr="004666F0">
        <w:rPr>
          <w:i/>
          <w:iCs/>
          <w:lang w:val="en-US"/>
        </w:rPr>
        <w:t xml:space="preserve"> </w:t>
      </w:r>
      <w:proofErr w:type="spellStart"/>
      <w:r w:rsidRPr="004666F0">
        <w:rPr>
          <w:i/>
          <w:iCs/>
          <w:lang w:val="en-US"/>
        </w:rPr>
        <w:t>dextran</w:t>
      </w:r>
      <w:proofErr w:type="spellEnd"/>
      <w:r>
        <w:rPr>
          <w:lang w:val="en-US"/>
        </w:rPr>
        <w:t xml:space="preserve"> </w:t>
      </w:r>
      <w:r w:rsidR="004666F0">
        <w:rPr>
          <w:lang w:val="en-US"/>
        </w:rPr>
        <w:br/>
        <w:t>I would use d</w:t>
      </w:r>
      <w:r w:rsidR="000C58D7" w:rsidRPr="009E77F6">
        <w:rPr>
          <w:lang w:val="en-US"/>
        </w:rPr>
        <w:t xml:space="preserve">ouble </w:t>
      </w:r>
      <w:r w:rsidR="004666F0">
        <w:rPr>
          <w:lang w:val="en-US"/>
        </w:rPr>
        <w:t>e</w:t>
      </w:r>
      <w:r w:rsidR="000C58D7" w:rsidRPr="009E77F6">
        <w:rPr>
          <w:lang w:val="en-US"/>
        </w:rPr>
        <w:t>mulsion</w:t>
      </w:r>
      <w:r w:rsidR="004666F0">
        <w:rPr>
          <w:lang w:val="en-US"/>
        </w:rPr>
        <w:t xml:space="preserve"> to encapsulate this drug </w:t>
      </w:r>
      <w:r w:rsidR="00951F59">
        <w:rPr>
          <w:lang w:val="en-US"/>
        </w:rPr>
        <w:t xml:space="preserve">as well </w:t>
      </w:r>
      <w:r w:rsidR="004666F0">
        <w:rPr>
          <w:lang w:val="en-US"/>
        </w:rPr>
        <w:t>since this is a n</w:t>
      </w:r>
      <w:r w:rsidR="000C58D7" w:rsidRPr="009E77F6">
        <w:rPr>
          <w:lang w:val="en-US"/>
        </w:rPr>
        <w:t>on-polar w</w:t>
      </w:r>
      <w:r w:rsidR="00951F59">
        <w:rPr>
          <w:lang w:val="en-US"/>
        </w:rPr>
        <w:t>ater-oil-water (w/o/w)</w:t>
      </w:r>
      <w:r w:rsidR="000C58D7" w:rsidRPr="009E77F6">
        <w:rPr>
          <w:lang w:val="en-US"/>
        </w:rPr>
        <w:t xml:space="preserve"> solution</w:t>
      </w:r>
      <w:r w:rsidR="00951F59">
        <w:rPr>
          <w:lang w:val="en-US"/>
        </w:rPr>
        <w:t>. Such solutions</w:t>
      </w:r>
      <w:r w:rsidR="004666F0">
        <w:rPr>
          <w:lang w:val="en-US"/>
        </w:rPr>
        <w:t xml:space="preserve"> c</w:t>
      </w:r>
      <w:r w:rsidR="00951F59">
        <w:rPr>
          <w:lang w:val="en-US"/>
        </w:rPr>
        <w:t xml:space="preserve">an be very large, usually on the order of </w:t>
      </w:r>
      <w:r w:rsidR="000C58D7" w:rsidRPr="009E77F6">
        <w:rPr>
          <w:lang w:val="en-US"/>
        </w:rPr>
        <w:t xml:space="preserve">10 – 150 </w:t>
      </w:r>
      <w:proofErr w:type="spellStart"/>
      <w:r w:rsidR="000C58D7" w:rsidRPr="009E77F6">
        <w:rPr>
          <w:lang w:val="en-US"/>
        </w:rPr>
        <w:t>kDa</w:t>
      </w:r>
      <w:proofErr w:type="spellEnd"/>
      <w:r w:rsidR="00951F59">
        <w:rPr>
          <w:lang w:val="en-US"/>
        </w:rPr>
        <w:t>.</w:t>
      </w:r>
    </w:p>
    <w:p w:rsidR="000C58D7" w:rsidRPr="009E77F6" w:rsidRDefault="009E77F6" w:rsidP="004666F0">
      <w:pPr>
        <w:pStyle w:val="ListParagraph"/>
        <w:numPr>
          <w:ilvl w:val="0"/>
          <w:numId w:val="2"/>
        </w:numPr>
        <w:ind w:left="709" w:hanging="349"/>
        <w:rPr>
          <w:lang w:val="en-US"/>
        </w:rPr>
      </w:pPr>
      <w:proofErr w:type="spellStart"/>
      <w:r w:rsidRPr="004666F0">
        <w:rPr>
          <w:i/>
          <w:iCs/>
          <w:lang w:val="en-US"/>
        </w:rPr>
        <w:t>Sildenafil</w:t>
      </w:r>
      <w:proofErr w:type="spellEnd"/>
      <w:r w:rsidRPr="004666F0">
        <w:rPr>
          <w:i/>
          <w:iCs/>
          <w:lang w:val="en-US"/>
        </w:rPr>
        <w:t xml:space="preserve"> citrat</w:t>
      </w:r>
      <w:r w:rsidR="004666F0">
        <w:rPr>
          <w:i/>
          <w:iCs/>
          <w:lang w:val="en-US"/>
        </w:rPr>
        <w:t>e (Viagra</w:t>
      </w:r>
      <w:proofErr w:type="gramStart"/>
      <w:r w:rsidR="004666F0">
        <w:rPr>
          <w:i/>
          <w:iCs/>
          <w:lang w:val="en-US"/>
        </w:rPr>
        <w:t>)</w:t>
      </w:r>
      <w:proofErr w:type="gramEnd"/>
      <w:r w:rsidR="004666F0">
        <w:rPr>
          <w:i/>
          <w:iCs/>
          <w:lang w:val="en-US"/>
        </w:rPr>
        <w:br/>
      </w:r>
      <w:r w:rsidR="004666F0">
        <w:rPr>
          <w:lang w:val="en-US"/>
        </w:rPr>
        <w:t xml:space="preserve">I would use </w:t>
      </w:r>
      <w:proofErr w:type="spellStart"/>
      <w:r w:rsidR="004666F0">
        <w:rPr>
          <w:lang w:val="en-US"/>
        </w:rPr>
        <w:t>n</w:t>
      </w:r>
      <w:r w:rsidR="000C58D7" w:rsidRPr="009E77F6">
        <w:rPr>
          <w:lang w:val="en-US"/>
        </w:rPr>
        <w:t>anoprecipitation</w:t>
      </w:r>
      <w:proofErr w:type="spellEnd"/>
      <w:r w:rsidR="000C58D7" w:rsidRPr="009E77F6">
        <w:rPr>
          <w:lang w:val="en-US"/>
        </w:rPr>
        <w:t xml:space="preserve"> </w:t>
      </w:r>
      <w:r w:rsidR="004666F0">
        <w:rPr>
          <w:lang w:val="en-US"/>
        </w:rPr>
        <w:t>to encapsulate this drug since it is n</w:t>
      </w:r>
      <w:r w:rsidR="000C58D7" w:rsidRPr="009E77F6">
        <w:rPr>
          <w:lang w:val="en-US"/>
        </w:rPr>
        <w:t>on-polar and very small</w:t>
      </w:r>
      <w:r w:rsidR="004666F0">
        <w:rPr>
          <w:lang w:val="en-US"/>
        </w:rPr>
        <w:t>.</w:t>
      </w:r>
    </w:p>
    <w:p w:rsidR="000C58D7" w:rsidRPr="009E77F6" w:rsidRDefault="009E77F6" w:rsidP="00951F59">
      <w:pPr>
        <w:pStyle w:val="ListParagraph"/>
        <w:numPr>
          <w:ilvl w:val="0"/>
          <w:numId w:val="2"/>
        </w:numPr>
        <w:ind w:left="709" w:hanging="349"/>
        <w:rPr>
          <w:rFonts w:ascii="TimesNewRomanPSMT" w:hAnsi="TimesNewRomanPSMT" w:cs="TimesNewRomanPSMT"/>
          <w:lang w:val="en-US"/>
        </w:rPr>
      </w:pPr>
      <w:r w:rsidRPr="004666F0">
        <w:rPr>
          <w:i/>
          <w:iCs/>
          <w:lang w:val="en-US"/>
        </w:rPr>
        <w:t>Testosterone</w:t>
      </w:r>
      <w:r w:rsidR="004666F0">
        <w:rPr>
          <w:lang w:val="en-US"/>
        </w:rPr>
        <w:br/>
        <w:t xml:space="preserve">I would use </w:t>
      </w:r>
      <w:proofErr w:type="spellStart"/>
      <w:r w:rsidR="004666F0">
        <w:rPr>
          <w:lang w:val="en-US"/>
        </w:rPr>
        <w:t>n</w:t>
      </w:r>
      <w:r w:rsidR="000C58D7" w:rsidRPr="009E77F6">
        <w:rPr>
          <w:lang w:val="en-US"/>
        </w:rPr>
        <w:t>anoprecipitation</w:t>
      </w:r>
      <w:proofErr w:type="spellEnd"/>
      <w:r w:rsidR="000C58D7" w:rsidRPr="009E77F6">
        <w:rPr>
          <w:lang w:val="en-US"/>
        </w:rPr>
        <w:t xml:space="preserve"> </w:t>
      </w:r>
      <w:r w:rsidR="004666F0">
        <w:rPr>
          <w:lang w:val="en-US"/>
        </w:rPr>
        <w:t>to encapsulate this drug since it is n</w:t>
      </w:r>
      <w:r w:rsidR="000C58D7" w:rsidRPr="009E77F6">
        <w:rPr>
          <w:lang w:val="en-US"/>
        </w:rPr>
        <w:t>on-polar and very small</w:t>
      </w:r>
      <w:r w:rsidR="004666F0">
        <w:rPr>
          <w:lang w:val="en-US"/>
        </w:rPr>
        <w:t xml:space="preserve">, </w:t>
      </w:r>
      <w:r w:rsidR="00951F59">
        <w:rPr>
          <w:lang w:val="en-US"/>
        </w:rPr>
        <w:t xml:space="preserve">similar to </w:t>
      </w:r>
      <w:proofErr w:type="spellStart"/>
      <w:r w:rsidR="00951F59">
        <w:rPr>
          <w:lang w:val="en-US"/>
        </w:rPr>
        <w:t>Sildenafil</w:t>
      </w:r>
      <w:proofErr w:type="spellEnd"/>
      <w:r w:rsidR="00951F59">
        <w:rPr>
          <w:lang w:val="en-US"/>
        </w:rPr>
        <w:t xml:space="preserve"> citrate in iii)</w:t>
      </w:r>
    </w:p>
    <w:p w:rsidR="000C58D7" w:rsidRDefault="000C58D7" w:rsidP="000C58D7">
      <w:pPr>
        <w:pStyle w:val="Heading3"/>
        <w:rPr>
          <w:lang w:eastAsia="en-US"/>
        </w:rPr>
      </w:pPr>
      <w:r>
        <w:rPr>
          <w:rFonts w:hint="eastAsia"/>
          <w:lang w:eastAsia="en-US"/>
        </w:rPr>
        <w:lastRenderedPageBreak/>
        <w:t>Conclusions</w:t>
      </w:r>
      <w:r w:rsidR="002107B7">
        <w:rPr>
          <w:lang w:eastAsia="en-US"/>
        </w:rPr>
        <w:t xml:space="preserve"> and Recommendations</w:t>
      </w:r>
    </w:p>
    <w:p w:rsidR="002107B7" w:rsidRDefault="002107B7" w:rsidP="000E653A">
      <w:r>
        <w:t xml:space="preserve">Since </w:t>
      </w:r>
      <w:r w:rsidR="000E653A">
        <w:t>our results are dependent on the performance of other lab groups who performed their experiment on the same day as us, it is hard to determine the accuracy of our results. Even if one group had errors in their experimental procedure, it would detrimentally impact the results of all the other groups, including ours.</w:t>
      </w:r>
    </w:p>
    <w:p w:rsidR="000E653A" w:rsidRPr="000E653A" w:rsidRDefault="000E653A" w:rsidP="000E653A">
      <w:r>
        <w:t xml:space="preserve">For instance, in the plot of particle size as a function of polymer concentration in different solvents, we found the particle size in </w:t>
      </w:r>
      <w:proofErr w:type="spellStart"/>
      <w:r>
        <w:t>acetonitrile</w:t>
      </w:r>
      <w:proofErr w:type="spellEnd"/>
      <w:r>
        <w:t xml:space="preserve"> to </w:t>
      </w:r>
      <w:r>
        <w:rPr>
          <w:i/>
          <w:iCs/>
        </w:rPr>
        <w:t xml:space="preserve">decrease </w:t>
      </w:r>
      <w:r>
        <w:t>with increasing polymer concentration. This is contradictory to the accepted theory.</w:t>
      </w:r>
    </w:p>
    <w:p w:rsidR="002107B7" w:rsidRDefault="000E653A" w:rsidP="00C87DCD">
      <w:r>
        <w:t xml:space="preserve">Nonetheless, the values obtained for the mean diameter of the nanoparticles synthesized using </w:t>
      </w:r>
      <w:proofErr w:type="spellStart"/>
      <w:r>
        <w:t>nanoprecipitation</w:t>
      </w:r>
      <w:proofErr w:type="spellEnd"/>
      <w:r>
        <w:t xml:space="preserve"> and double emulsion techniques are acceptable and within the bounds anticipated by us given our prior knowledge of the theory behind the two techniques. From our results, we see that the effective diameter obtained via double emulsion is much larger, almost 1500% larger than that obtained via </w:t>
      </w:r>
      <w:proofErr w:type="spellStart"/>
      <w:r>
        <w:t>nanoprecipitation</w:t>
      </w:r>
      <w:proofErr w:type="spellEnd"/>
      <w:r>
        <w:t>.</w:t>
      </w:r>
      <w:r w:rsidR="00C87DCD">
        <w:t xml:space="preserve"> This is reasonable since double emulsion has a second extra encapsulation layer that emulsifies the smaller particles formed in the first step. This results in much larger particle sizes than compared with </w:t>
      </w:r>
      <w:proofErr w:type="spellStart"/>
      <w:r w:rsidR="00C87DCD">
        <w:t>nanoprecipitation</w:t>
      </w:r>
      <w:proofErr w:type="spellEnd"/>
      <w:r w:rsidR="00C87DCD">
        <w:t>.</w:t>
      </w:r>
    </w:p>
    <w:p w:rsidR="00C87DCD" w:rsidRDefault="00C87DCD" w:rsidP="00C87DCD">
      <w:r>
        <w:t xml:space="preserve">A few recommendations can be made based on these new findings: Small, non-polar drugs are best encapsulated using </w:t>
      </w:r>
      <w:proofErr w:type="spellStart"/>
      <w:r>
        <w:t>nanoprecipitation</w:t>
      </w:r>
      <w:proofErr w:type="spellEnd"/>
      <w:r>
        <w:t>, while larger drugs and drugs that are expensive to manufacture and therefore require better encapsulation efficiencies to minimize wastage are best encapsulated using double emulsion.</w:t>
      </w:r>
    </w:p>
    <w:p w:rsidR="006F6785" w:rsidRDefault="006F6785">
      <w:r>
        <w:br w:type="page"/>
      </w:r>
    </w:p>
    <w:p w:rsidR="006F6785" w:rsidRDefault="006F6785" w:rsidP="006F6785">
      <w:pPr>
        <w:pStyle w:val="Heading1"/>
        <w:pBdr>
          <w:bottom w:val="single" w:sz="6" w:space="1" w:color="auto"/>
        </w:pBdr>
        <w:ind w:right="-138"/>
        <w:rPr>
          <w:color w:val="auto"/>
        </w:rPr>
      </w:pPr>
      <w:r>
        <w:rPr>
          <w:color w:val="auto"/>
        </w:rPr>
        <w:lastRenderedPageBreak/>
        <w:t>Lab 2</w:t>
      </w:r>
      <w:r w:rsidRPr="000C58D7">
        <w:rPr>
          <w:color w:val="auto"/>
        </w:rPr>
        <w:t xml:space="preserve"> </w:t>
      </w:r>
      <w:r>
        <w:rPr>
          <w:color w:val="auto"/>
        </w:rPr>
        <w:t>Determination of Nanoparticle Encapsulation Efficiency by HPLC and Fluorescence Absorbance</w:t>
      </w:r>
    </w:p>
    <w:p w:rsidR="00890966" w:rsidRDefault="006F6785" w:rsidP="006F6785">
      <w:pPr>
        <w:pStyle w:val="Heading3"/>
      </w:pPr>
      <w:r>
        <w:t>Introduction and Objective</w:t>
      </w:r>
    </w:p>
    <w:p w:rsidR="009463BB" w:rsidRDefault="009463BB" w:rsidP="009463BB">
      <w:r>
        <w:t xml:space="preserve">In the previous laboratory session, we encapsulated two different drugs, namely </w:t>
      </w:r>
      <w:proofErr w:type="spellStart"/>
      <w:r>
        <w:t>docetaxel</w:t>
      </w:r>
      <w:proofErr w:type="spellEnd"/>
      <w:r>
        <w:t xml:space="preserve"> and doxorubicin using </w:t>
      </w:r>
      <w:proofErr w:type="spellStart"/>
      <w:r>
        <w:t>nanoprecipitation</w:t>
      </w:r>
      <w:proofErr w:type="spellEnd"/>
      <w:r>
        <w:t xml:space="preserve"> and double emulsion techniques respectively. In this lab session, we studied the encapsulation efficiency achieved in the encapsulation of these two drugs using these two techniques. HPLC and </w:t>
      </w:r>
      <w:r w:rsidR="006D20F1">
        <w:t>fluorescence</w:t>
      </w:r>
      <w:r>
        <w:t xml:space="preserve"> were used to determine the concentration of encapsulated drug.</w:t>
      </w:r>
      <w:r w:rsidR="006D20F1">
        <w:t xml:space="preserve"> </w:t>
      </w:r>
      <w:r>
        <w:t xml:space="preserve">Fluorescence is measured using a </w:t>
      </w:r>
      <w:proofErr w:type="spellStart"/>
      <w:r>
        <w:t>microplate</w:t>
      </w:r>
      <w:proofErr w:type="spellEnd"/>
      <w:r>
        <w:t xml:space="preserve"> reader. </w:t>
      </w:r>
    </w:p>
    <w:p w:rsidR="006D20F1" w:rsidRDefault="006D20F1" w:rsidP="009463BB">
      <w:r w:rsidRPr="00890966">
        <w:rPr>
          <w:i/>
          <w:iCs/>
        </w:rPr>
        <w:t xml:space="preserve">Encapsulation </w:t>
      </w:r>
      <w:r w:rsidR="00890966" w:rsidRPr="00890966">
        <w:rPr>
          <w:i/>
          <w:iCs/>
        </w:rPr>
        <w:t>e</w:t>
      </w:r>
      <w:r w:rsidRPr="00890966">
        <w:rPr>
          <w:i/>
          <w:iCs/>
        </w:rPr>
        <w:t>fficiency</w:t>
      </w:r>
      <w:r>
        <w:t xml:space="preserve"> is </w:t>
      </w:r>
      <w:r w:rsidR="009463BB">
        <w:t xml:space="preserve">defined as the ratio between </w:t>
      </w:r>
      <w:r>
        <w:t>the mass</w:t>
      </w:r>
      <w:r w:rsidR="009463BB">
        <w:t>es</w:t>
      </w:r>
      <w:r>
        <w:t xml:space="preserve"> of the original drug </w:t>
      </w:r>
      <w:r w:rsidR="009463BB">
        <w:t xml:space="preserve">added to solution and the </w:t>
      </w:r>
      <w:r>
        <w:t>drug encapsulated</w:t>
      </w:r>
      <w:r w:rsidR="009463BB">
        <w:t xml:space="preserve"> in the nanoparticle formulation.</w:t>
      </w:r>
    </w:p>
    <w:p w:rsidR="006F6785" w:rsidRDefault="006F6785" w:rsidP="006F6785">
      <w:pPr>
        <w:pStyle w:val="Heading3"/>
      </w:pPr>
      <w:r>
        <w:t>Experimental Procedure</w:t>
      </w:r>
    </w:p>
    <w:p w:rsidR="006D1BAA" w:rsidRDefault="005C1A03" w:rsidP="005C1A03">
      <w:r>
        <w:t xml:space="preserve">The procedure for this laboratory was obtained from </w:t>
      </w:r>
      <w:r w:rsidRPr="000C58D7">
        <w:t>the</w:t>
      </w:r>
      <w:r>
        <w:t xml:space="preserve"> </w:t>
      </w:r>
      <w:r w:rsidRPr="00E4295B">
        <w:t xml:space="preserve">NE 454L/481L </w:t>
      </w:r>
      <w:proofErr w:type="spellStart"/>
      <w:r>
        <w:t>Nanoscale</w:t>
      </w:r>
      <w:proofErr w:type="spellEnd"/>
      <w:r>
        <w:t xml:space="preserve"> </w:t>
      </w:r>
      <w:proofErr w:type="spellStart"/>
      <w:r>
        <w:t>Biosystems</w:t>
      </w:r>
      <w:proofErr w:type="spellEnd"/>
      <w:r>
        <w:t xml:space="preserve"> Laboratory 2 part of the Nanotechnology Engineering Program 4A Lab Manuals, 2009. </w:t>
      </w:r>
    </w:p>
    <w:p w:rsidR="00890966" w:rsidRPr="00890966" w:rsidRDefault="00890966" w:rsidP="006D1BAA">
      <w:r>
        <w:t xml:space="preserve">The </w:t>
      </w:r>
      <w:r w:rsidR="006D1BAA">
        <w:t>following deviations from the lab manual were observed: E</w:t>
      </w:r>
      <w:r w:rsidRPr="00FD3C67">
        <w:t>xercise 1 was skipped and replaced with another dilution experiment</w:t>
      </w:r>
      <w:r>
        <w:t xml:space="preserve"> provided by the lab instructor. </w:t>
      </w:r>
      <w:r w:rsidR="006D1BAA">
        <w:t>Also, since we ran out of doxorubicin half-way through the lab, we needed an extra 0.5 mg/</w:t>
      </w:r>
      <w:proofErr w:type="spellStart"/>
      <w:r w:rsidR="006D1BAA">
        <w:t>mL</w:t>
      </w:r>
      <w:proofErr w:type="spellEnd"/>
      <w:r w:rsidR="006D1BAA">
        <w:t xml:space="preserve"> doxorubicin via to complete all the specified dilutions.</w:t>
      </w:r>
    </w:p>
    <w:p w:rsidR="00E95F2E" w:rsidRDefault="00912E9F" w:rsidP="006D1BAA">
      <w:pPr>
        <w:pStyle w:val="Heading3"/>
        <w:rPr>
          <w:lang w:eastAsia="en-US"/>
        </w:rPr>
      </w:pPr>
      <w:r>
        <w:rPr>
          <w:lang w:eastAsia="en-US"/>
        </w:rPr>
        <w:t xml:space="preserve">Results and </w:t>
      </w:r>
      <w:r w:rsidR="006D1BAA">
        <w:rPr>
          <w:lang w:eastAsia="en-US"/>
        </w:rPr>
        <w:t>Data</w:t>
      </w:r>
    </w:p>
    <w:p w:rsidR="00912E9F" w:rsidRPr="00912E9F" w:rsidRDefault="00912E9F" w:rsidP="00912E9F">
      <w:pPr>
        <w:pStyle w:val="Heading2"/>
        <w:rPr>
          <w:i/>
          <w:iCs/>
          <w:color w:val="auto"/>
          <w:sz w:val="22"/>
          <w:szCs w:val="22"/>
        </w:rPr>
      </w:pPr>
      <w:r w:rsidRPr="00912E9F">
        <w:rPr>
          <w:i/>
          <w:iCs/>
          <w:color w:val="auto"/>
          <w:sz w:val="22"/>
          <w:szCs w:val="22"/>
        </w:rPr>
        <w:t>In Lab Exercise 1</w:t>
      </w:r>
    </w:p>
    <w:tbl>
      <w:tblPr>
        <w:tblStyle w:val="TableGrid"/>
        <w:tblW w:w="0" w:type="auto"/>
        <w:tblLook w:val="04A0"/>
      </w:tblPr>
      <w:tblGrid>
        <w:gridCol w:w="3227"/>
        <w:gridCol w:w="2410"/>
      </w:tblGrid>
      <w:tr w:rsidR="00912E9F" w:rsidTr="00EB3A83">
        <w:tc>
          <w:tcPr>
            <w:tcW w:w="3227" w:type="dxa"/>
          </w:tcPr>
          <w:p w:rsidR="00912E9F" w:rsidRPr="00912E9F" w:rsidRDefault="00912E9F" w:rsidP="00EB3A83">
            <w:pPr>
              <w:jc w:val="center"/>
              <w:rPr>
                <w:b/>
                <w:bCs/>
              </w:rPr>
            </w:pPr>
            <w:proofErr w:type="spellStart"/>
            <w:r w:rsidRPr="00912E9F">
              <w:rPr>
                <w:b/>
                <w:bCs/>
              </w:rPr>
              <w:t>Bromothymol</w:t>
            </w:r>
            <w:proofErr w:type="spellEnd"/>
            <w:r w:rsidRPr="00912E9F">
              <w:rPr>
                <w:b/>
                <w:bCs/>
              </w:rPr>
              <w:t xml:space="preserve"> Blue Dilution</w:t>
            </w:r>
          </w:p>
        </w:tc>
        <w:tc>
          <w:tcPr>
            <w:tcW w:w="2410" w:type="dxa"/>
          </w:tcPr>
          <w:p w:rsidR="00912E9F" w:rsidRPr="00912E9F" w:rsidRDefault="00912E9F" w:rsidP="00EB3A83">
            <w:pPr>
              <w:jc w:val="center"/>
              <w:rPr>
                <w:b/>
                <w:bCs/>
              </w:rPr>
            </w:pPr>
            <w:r w:rsidRPr="00912E9F">
              <w:rPr>
                <w:b/>
                <w:bCs/>
              </w:rPr>
              <w:t>Absorbance at 609 nm</w:t>
            </w:r>
          </w:p>
        </w:tc>
      </w:tr>
      <w:tr w:rsidR="00912E9F" w:rsidTr="00EB3A83">
        <w:tc>
          <w:tcPr>
            <w:tcW w:w="3227" w:type="dxa"/>
            <w:vAlign w:val="center"/>
          </w:tcPr>
          <w:p w:rsidR="00912E9F" w:rsidRDefault="00912E9F" w:rsidP="00EB3A83">
            <w:pPr>
              <w:jc w:val="center"/>
            </w:pPr>
            <w:r>
              <w:t>Distilled Water</w:t>
            </w:r>
          </w:p>
        </w:tc>
        <w:tc>
          <w:tcPr>
            <w:tcW w:w="2410" w:type="dxa"/>
            <w:vAlign w:val="center"/>
          </w:tcPr>
          <w:p w:rsidR="00912E9F" w:rsidRDefault="00912E9F" w:rsidP="00EB3A83">
            <w:pPr>
              <w:jc w:val="center"/>
            </w:pPr>
            <w:r>
              <w:t>1.007</w:t>
            </w:r>
          </w:p>
        </w:tc>
      </w:tr>
      <w:tr w:rsidR="00912E9F" w:rsidTr="00EB3A83">
        <w:tc>
          <w:tcPr>
            <w:tcW w:w="3227" w:type="dxa"/>
            <w:vAlign w:val="center"/>
          </w:tcPr>
          <w:p w:rsidR="00912E9F" w:rsidRDefault="00912E9F" w:rsidP="00EB3A83">
            <w:pPr>
              <w:jc w:val="center"/>
            </w:pPr>
            <w:r>
              <w:t>10x</w:t>
            </w:r>
          </w:p>
        </w:tc>
        <w:tc>
          <w:tcPr>
            <w:tcW w:w="2410" w:type="dxa"/>
            <w:vAlign w:val="center"/>
          </w:tcPr>
          <w:p w:rsidR="00912E9F" w:rsidRDefault="00912E9F" w:rsidP="00EB3A83">
            <w:pPr>
              <w:jc w:val="center"/>
            </w:pPr>
            <w:r>
              <w:t>0.437</w:t>
            </w:r>
          </w:p>
        </w:tc>
      </w:tr>
      <w:tr w:rsidR="00912E9F" w:rsidTr="00EB3A83">
        <w:tc>
          <w:tcPr>
            <w:tcW w:w="3227" w:type="dxa"/>
            <w:vAlign w:val="center"/>
          </w:tcPr>
          <w:p w:rsidR="00912E9F" w:rsidRDefault="00912E9F" w:rsidP="00EB3A83">
            <w:pPr>
              <w:jc w:val="center"/>
            </w:pPr>
            <w:r>
              <w:t>100x</w:t>
            </w:r>
          </w:p>
        </w:tc>
        <w:tc>
          <w:tcPr>
            <w:tcW w:w="2410" w:type="dxa"/>
            <w:vAlign w:val="center"/>
          </w:tcPr>
          <w:p w:rsidR="00912E9F" w:rsidRDefault="00912E9F" w:rsidP="00EB3A83">
            <w:pPr>
              <w:jc w:val="center"/>
            </w:pPr>
            <w:r>
              <w:t>0.191</w:t>
            </w:r>
          </w:p>
        </w:tc>
      </w:tr>
      <w:tr w:rsidR="00912E9F" w:rsidTr="00EB3A83">
        <w:tc>
          <w:tcPr>
            <w:tcW w:w="3227" w:type="dxa"/>
            <w:vAlign w:val="center"/>
          </w:tcPr>
          <w:p w:rsidR="00912E9F" w:rsidRDefault="00912E9F" w:rsidP="00EB3A83">
            <w:pPr>
              <w:jc w:val="center"/>
            </w:pPr>
            <w:r>
              <w:t>1000x</w:t>
            </w:r>
          </w:p>
        </w:tc>
        <w:tc>
          <w:tcPr>
            <w:tcW w:w="2410" w:type="dxa"/>
            <w:vAlign w:val="center"/>
          </w:tcPr>
          <w:p w:rsidR="00912E9F" w:rsidRDefault="00912E9F" w:rsidP="00EB3A83">
            <w:pPr>
              <w:jc w:val="center"/>
            </w:pPr>
            <w:r>
              <w:t>0.088</w:t>
            </w:r>
          </w:p>
        </w:tc>
      </w:tr>
    </w:tbl>
    <w:p w:rsidR="00912E9F" w:rsidRPr="00EB3A83" w:rsidRDefault="00EB3A83" w:rsidP="00EB3A83">
      <w:pPr>
        <w:pStyle w:val="Heading2"/>
        <w:rPr>
          <w:i/>
          <w:iCs/>
          <w:color w:val="auto"/>
          <w:sz w:val="22"/>
          <w:szCs w:val="22"/>
        </w:rPr>
      </w:pPr>
      <w:proofErr w:type="spellStart"/>
      <w:r>
        <w:rPr>
          <w:i/>
          <w:iCs/>
          <w:color w:val="auto"/>
          <w:sz w:val="22"/>
          <w:szCs w:val="22"/>
        </w:rPr>
        <w:t>Docetaxel</w:t>
      </w:r>
      <w:proofErr w:type="spellEnd"/>
      <w:r>
        <w:rPr>
          <w:i/>
          <w:iCs/>
          <w:color w:val="auto"/>
          <w:sz w:val="22"/>
          <w:szCs w:val="22"/>
        </w:rPr>
        <w:t xml:space="preserve"> Encapsulation Efficiency using HPLC</w:t>
      </w:r>
      <w:r w:rsidR="00912E9F" w:rsidRPr="00EB3A83">
        <w:rPr>
          <w:i/>
          <w:iCs/>
          <w:color w:val="auto"/>
          <w:sz w:val="22"/>
          <w:szCs w:val="22"/>
        </w:rPr>
        <w:t xml:space="preserve"> </w:t>
      </w:r>
    </w:p>
    <w:p w:rsidR="00912E9F" w:rsidRPr="002B555E" w:rsidRDefault="00912E9F" w:rsidP="00912E9F">
      <w:pPr>
        <w:pStyle w:val="Default"/>
        <w:rPr>
          <w:color w:val="4F81BC"/>
          <w:sz w:val="22"/>
          <w:szCs w:val="22"/>
        </w:rPr>
      </w:pPr>
    </w:p>
    <w:p w:rsidR="00912E9F" w:rsidRPr="00DD155D" w:rsidRDefault="00912E9F" w:rsidP="00EB3A83">
      <w:pPr>
        <w:rPr>
          <w:rFonts w:cs="Segoe UI"/>
          <w:color w:val="000000"/>
          <w:lang w:val="en-US"/>
        </w:rPr>
      </w:pPr>
      <w:r w:rsidRPr="00DD155D">
        <w:rPr>
          <w:rFonts w:cs="Segoe UI"/>
          <w:color w:val="000000"/>
          <w:lang w:val="en-US"/>
        </w:rPr>
        <w:t xml:space="preserve">Mass </w:t>
      </w:r>
      <w:r w:rsidR="00EB3A83">
        <w:rPr>
          <w:rFonts w:cs="Segoe UI"/>
          <w:color w:val="000000"/>
          <w:lang w:val="en-US"/>
        </w:rPr>
        <w:t xml:space="preserve">of </w:t>
      </w:r>
      <w:proofErr w:type="spellStart"/>
      <w:r w:rsidR="00EB3A83">
        <w:rPr>
          <w:rFonts w:cs="Segoe UI"/>
          <w:color w:val="000000"/>
          <w:lang w:val="en-US"/>
        </w:rPr>
        <w:t>Docetaxel</w:t>
      </w:r>
      <w:proofErr w:type="spellEnd"/>
      <w:r w:rsidR="00EB3A83">
        <w:rPr>
          <w:rFonts w:cs="Segoe UI"/>
          <w:color w:val="000000"/>
          <w:lang w:val="en-US"/>
        </w:rPr>
        <w:t xml:space="preserve"> Sample with MW1 = </w:t>
      </w:r>
      <w:r w:rsidRPr="003C217D">
        <w:rPr>
          <w:rFonts w:cs="Segoe UI"/>
          <w:b/>
          <w:bCs/>
          <w:color w:val="000000"/>
          <w:lang w:val="en-US"/>
        </w:rPr>
        <w:t>8.8 mg</w:t>
      </w:r>
      <w:r w:rsidR="00EB3A83">
        <w:rPr>
          <w:rFonts w:cs="Segoe UI"/>
          <w:color w:val="000000"/>
          <w:lang w:val="en-US"/>
        </w:rPr>
        <w:br/>
      </w:r>
      <w:r w:rsidRPr="00DD155D">
        <w:rPr>
          <w:rFonts w:cs="Segoe UI"/>
          <w:color w:val="000000"/>
          <w:lang w:val="en-US"/>
        </w:rPr>
        <w:t>Mass of Or</w:t>
      </w:r>
      <w:r w:rsidR="00EB3A83">
        <w:rPr>
          <w:rFonts w:cs="Segoe UI"/>
          <w:color w:val="000000"/>
          <w:lang w:val="en-US"/>
        </w:rPr>
        <w:t xml:space="preserve">iginal </w:t>
      </w:r>
      <w:proofErr w:type="spellStart"/>
      <w:r w:rsidR="00EB3A83">
        <w:rPr>
          <w:rFonts w:cs="Segoe UI"/>
          <w:color w:val="000000"/>
          <w:lang w:val="en-US"/>
        </w:rPr>
        <w:t>Docetaxel</w:t>
      </w:r>
      <w:proofErr w:type="spellEnd"/>
      <w:r w:rsidR="00EB3A83">
        <w:rPr>
          <w:rFonts w:cs="Segoe UI"/>
          <w:color w:val="000000"/>
          <w:lang w:val="en-US"/>
        </w:rPr>
        <w:t xml:space="preserve"> Sample with MW =</w:t>
      </w:r>
      <w:r w:rsidRPr="00DD155D">
        <w:rPr>
          <w:rFonts w:cs="Segoe UI"/>
          <w:color w:val="000000"/>
          <w:lang w:val="en-US"/>
        </w:rPr>
        <w:t xml:space="preserve"> </w:t>
      </w:r>
      <w:r w:rsidRPr="003C217D">
        <w:rPr>
          <w:rFonts w:cs="Segoe UI"/>
          <w:b/>
          <w:bCs/>
          <w:color w:val="000000"/>
          <w:lang w:val="en-US"/>
        </w:rPr>
        <w:t>10.1 mg</w:t>
      </w:r>
    </w:p>
    <w:p w:rsidR="00912E9F" w:rsidRPr="00DD155D" w:rsidRDefault="00CD7DC6" w:rsidP="00CD7DC6">
      <w:r>
        <w:rPr>
          <w:lang w:val="en-US"/>
        </w:rPr>
        <w:t>Our solution was prepared with</w:t>
      </w:r>
      <w:r w:rsidR="00912E9F" w:rsidRPr="00DD155D">
        <w:t xml:space="preserve"> 1 ml of 10 mg/ml MW1 in </w:t>
      </w:r>
      <w:proofErr w:type="spellStart"/>
      <w:r w:rsidR="003C217D">
        <w:t>a</w:t>
      </w:r>
      <w:r w:rsidR="00912E9F" w:rsidRPr="00DD155D">
        <w:t>cetonitrile</w:t>
      </w:r>
      <w:proofErr w:type="spellEnd"/>
      <w:r w:rsidR="00912E9F" w:rsidRPr="00DD155D">
        <w:t xml:space="preserve"> and 0.1 mg/ml of </w:t>
      </w:r>
      <w:proofErr w:type="spellStart"/>
      <w:r w:rsidR="003C217D">
        <w:t>d</w:t>
      </w:r>
      <w:r>
        <w:t>ocetaxel</w:t>
      </w:r>
      <w:proofErr w:type="spellEnd"/>
      <w:r>
        <w:t xml:space="preserve">. This adds up to a total of </w:t>
      </w:r>
      <w:r w:rsidR="00912E9F" w:rsidRPr="00DD155D">
        <w:t>10.1 mg.</w:t>
      </w:r>
      <w:r w:rsidR="003C217D">
        <w:t xml:space="preserve"> Thus the yield percentage is calculated as follows:</w:t>
      </w:r>
    </w:p>
    <w:p w:rsidR="00CD7DC6" w:rsidRDefault="00CD7DC6" w:rsidP="00EB3A83">
      <w:r w:rsidRPr="00CD7DC6">
        <w:rPr>
          <w:position w:val="-28"/>
        </w:rPr>
        <w:object w:dxaOrig="27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pt;height:32.75pt" o:ole="">
            <v:imagedata r:id="rId10" o:title=""/>
          </v:shape>
          <o:OLEObject Type="Embed" ProgID="Equation.DSMT4" ShapeID="_x0000_i1025" DrawAspect="Content" ObjectID="_1339313436" r:id="rId11"/>
        </w:object>
      </w:r>
    </w:p>
    <w:p w:rsidR="003C217D" w:rsidRDefault="003C217D" w:rsidP="003C217D">
      <w:r>
        <w:lastRenderedPageBreak/>
        <w:t>The yield percentage obtained above is 12.9% short of 100%. There are many reasons for this. Centrifugation and filtration contribute to some of the drug losses. Transferring between vials also causes some loss</w:t>
      </w:r>
      <w:r w:rsidR="00CD7DC6">
        <w:t xml:space="preserve"> as there will always be some solution left behind in the vial at the end of the transfer</w:t>
      </w:r>
      <w:r>
        <w:t xml:space="preserve">. Some of the original material could have been stuck to the paper that was used to measure out the material. There could also be a certain amount of instrumental error </w:t>
      </w:r>
      <w:r w:rsidR="009233FD">
        <w:t xml:space="preserve">in the mass balance and </w:t>
      </w:r>
      <w:r>
        <w:t>when using the volumetric pipette to measure out the drug. Also, there could be visual and parallax errors involved in reading the</w:t>
      </w:r>
      <w:r w:rsidR="00CD7DC6">
        <w:t xml:space="preserve"> blue</w:t>
      </w:r>
      <w:r>
        <w:t xml:space="preserve"> line on the pipette which may cause inaccurate amounts of liquid to be transferred.</w:t>
      </w:r>
    </w:p>
    <w:p w:rsidR="00912E9F" w:rsidRPr="00EB3A83" w:rsidRDefault="00912E9F" w:rsidP="00EB3A83">
      <w:pPr>
        <w:pStyle w:val="Heading2"/>
        <w:rPr>
          <w:i/>
          <w:iCs/>
          <w:color w:val="auto"/>
          <w:sz w:val="22"/>
          <w:szCs w:val="22"/>
        </w:rPr>
      </w:pPr>
      <w:r w:rsidRPr="00EB3A83">
        <w:rPr>
          <w:i/>
          <w:iCs/>
          <w:color w:val="auto"/>
          <w:sz w:val="22"/>
          <w:szCs w:val="22"/>
        </w:rPr>
        <w:t>D</w:t>
      </w:r>
      <w:r w:rsidR="00EB3A83">
        <w:rPr>
          <w:i/>
          <w:iCs/>
          <w:color w:val="auto"/>
          <w:sz w:val="22"/>
          <w:szCs w:val="22"/>
        </w:rPr>
        <w:t>oxorubicin Encapsulation Efficiency by Fluorescence</w:t>
      </w:r>
      <w:r w:rsidRPr="00EB3A83">
        <w:rPr>
          <w:i/>
          <w:iCs/>
          <w:color w:val="auto"/>
          <w:sz w:val="22"/>
          <w:szCs w:val="22"/>
        </w:rPr>
        <w:t xml:space="preserve"> </w:t>
      </w:r>
    </w:p>
    <w:p w:rsidR="00912E9F" w:rsidRPr="00DD155D" w:rsidRDefault="00EB3A83" w:rsidP="00EB3A83">
      <w:pPr>
        <w:rPr>
          <w:rFonts w:cs="Segoe UI"/>
          <w:color w:val="000000"/>
          <w:lang w:val="en-US"/>
        </w:rPr>
      </w:pPr>
      <w:r>
        <w:rPr>
          <w:rFonts w:cs="Segoe UI"/>
          <w:color w:val="000000"/>
          <w:lang w:val="en-US"/>
        </w:rPr>
        <w:br/>
      </w:r>
      <w:r w:rsidR="00912E9F" w:rsidRPr="00DD155D">
        <w:rPr>
          <w:rFonts w:cs="Segoe UI"/>
          <w:color w:val="000000"/>
          <w:lang w:val="en-US"/>
        </w:rPr>
        <w:t>Mass</w:t>
      </w:r>
      <w:r w:rsidR="009233FD">
        <w:rPr>
          <w:rFonts w:cs="Segoe UI"/>
          <w:color w:val="000000"/>
          <w:lang w:val="en-US"/>
        </w:rPr>
        <w:t xml:space="preserve"> of Doxorubicin Sample with MW1</w:t>
      </w:r>
      <w:r w:rsidR="00912E9F" w:rsidRPr="00DD155D">
        <w:rPr>
          <w:rFonts w:cs="Segoe UI"/>
          <w:color w:val="000000"/>
          <w:lang w:val="en-US"/>
        </w:rPr>
        <w:t xml:space="preserve">: </w:t>
      </w:r>
      <w:r w:rsidR="00912E9F" w:rsidRPr="009233FD">
        <w:rPr>
          <w:rFonts w:cs="Segoe UI"/>
          <w:b/>
          <w:bCs/>
          <w:color w:val="000000"/>
          <w:lang w:val="en-US"/>
        </w:rPr>
        <w:t>46.2 mg</w:t>
      </w:r>
      <w:r w:rsidRPr="009233FD">
        <w:rPr>
          <w:rFonts w:cs="Segoe UI"/>
          <w:b/>
          <w:bCs/>
          <w:color w:val="000000"/>
          <w:lang w:val="en-US"/>
        </w:rPr>
        <w:br/>
      </w:r>
      <w:r w:rsidR="00912E9F" w:rsidRPr="00DD155D">
        <w:rPr>
          <w:rFonts w:cs="Segoe UI"/>
          <w:color w:val="000000"/>
          <w:lang w:val="en-US"/>
        </w:rPr>
        <w:t xml:space="preserve">Mass of Original Doxorubicin Sample with MW1: </w:t>
      </w:r>
      <w:r w:rsidR="00912E9F" w:rsidRPr="009233FD">
        <w:rPr>
          <w:rFonts w:cs="Segoe UI"/>
          <w:b/>
          <w:bCs/>
          <w:color w:val="000000"/>
          <w:lang w:val="en-US"/>
        </w:rPr>
        <w:t>51.4 mg</w:t>
      </w:r>
    </w:p>
    <w:p w:rsidR="002E5AF1" w:rsidRDefault="002E5AF1" w:rsidP="002E5AF1">
      <w:pPr>
        <w:autoSpaceDE w:val="0"/>
        <w:autoSpaceDN w:val="0"/>
        <w:adjustRightInd w:val="0"/>
        <w:spacing w:after="0" w:line="240" w:lineRule="auto"/>
        <w:rPr>
          <w:rFonts w:cs="TimesNewRomanPSMT"/>
          <w:lang w:val="en-US"/>
        </w:rPr>
      </w:pPr>
      <w:r>
        <w:rPr>
          <w:rFonts w:cs="TimesNewRomanPSMT"/>
          <w:lang w:val="en-US"/>
        </w:rPr>
        <w:t xml:space="preserve">In the preparation of our solution, we took 101.8 mg of MW1 and added it to </w:t>
      </w:r>
      <w:r w:rsidR="00912E9F" w:rsidRPr="00DD155D">
        <w:rPr>
          <w:rFonts w:cs="TimesNewRomanPSMT"/>
          <w:lang w:val="en-US"/>
        </w:rPr>
        <w:t>400</w:t>
      </w:r>
      <w:r w:rsidR="00912E9F" w:rsidRPr="00DD155D">
        <w:rPr>
          <w:rFonts w:cs="Symbol"/>
          <w:lang w:val="en-US"/>
        </w:rPr>
        <w:t xml:space="preserve"> </w:t>
      </w:r>
      <w:r w:rsidR="00EB3A83" w:rsidRPr="00EB3A83">
        <w:rPr>
          <w:rFonts w:ascii="Symbol" w:hAnsi="Symbol" w:cs="Symbol"/>
          <w:lang w:val="en-US"/>
        </w:rPr>
        <w:t></w:t>
      </w:r>
      <w:r w:rsidR="00912E9F" w:rsidRPr="00DD155D">
        <w:rPr>
          <w:rFonts w:cs="TimesNewRomanPSMT"/>
          <w:lang w:val="en-US"/>
        </w:rPr>
        <w:t>l of the 2.5 mg/</w:t>
      </w:r>
      <w:proofErr w:type="spellStart"/>
      <w:r w:rsidR="00912E9F" w:rsidRPr="00DD155D">
        <w:rPr>
          <w:rFonts w:cs="TimesNewRomanPSMT"/>
          <w:lang w:val="en-US"/>
        </w:rPr>
        <w:t>mL</w:t>
      </w:r>
      <w:proofErr w:type="spellEnd"/>
      <w:r w:rsidR="00912E9F" w:rsidRPr="00DD155D">
        <w:rPr>
          <w:rFonts w:cs="TimesNewRomanPSMT"/>
          <w:lang w:val="en-US"/>
        </w:rPr>
        <w:t xml:space="preserve"> </w:t>
      </w:r>
      <w:r w:rsidR="00EB3A83">
        <w:rPr>
          <w:rFonts w:cs="TimesNewRomanPSMT"/>
          <w:lang w:val="en-US"/>
        </w:rPr>
        <w:t>d</w:t>
      </w:r>
      <w:r w:rsidR="00912E9F" w:rsidRPr="00DD155D">
        <w:rPr>
          <w:rFonts w:cs="TimesNewRomanPSMT"/>
          <w:lang w:val="en-US"/>
        </w:rPr>
        <w:t xml:space="preserve">oxorubicin solution </w:t>
      </w:r>
      <w:r>
        <w:rPr>
          <w:rFonts w:cs="TimesNewRomanPSMT"/>
          <w:lang w:val="en-US"/>
        </w:rPr>
        <w:t>which has a mass of 0.4 ml * 2.5 mg/</w:t>
      </w:r>
      <w:proofErr w:type="spellStart"/>
      <w:r>
        <w:rPr>
          <w:rFonts w:cs="TimesNewRomanPSMT"/>
          <w:lang w:val="en-US"/>
        </w:rPr>
        <w:t>mL</w:t>
      </w:r>
      <w:proofErr w:type="spellEnd"/>
      <w:r>
        <w:rPr>
          <w:rFonts w:cs="TimesNewRomanPSMT"/>
          <w:lang w:val="en-US"/>
        </w:rPr>
        <w:t xml:space="preserve"> = 1mg. This yields a total mass of 101.8 mg + 1 mg = 102.8 mg. We also observe that we used only half the </w:t>
      </w:r>
      <w:proofErr w:type="spellStart"/>
      <w:r>
        <w:rPr>
          <w:rFonts w:cs="TimesNewRomanPSMT"/>
          <w:lang w:val="en-US"/>
        </w:rPr>
        <w:t>retenate</w:t>
      </w:r>
      <w:proofErr w:type="spellEnd"/>
      <w:r>
        <w:rPr>
          <w:rFonts w:cs="TimesNewRomanPSMT"/>
          <w:lang w:val="en-US"/>
        </w:rPr>
        <w:t xml:space="preserve"> after centrifugation. Thus, the final mass used was 102.8 mg / 2 = 51.4 mg. We may calculate the yield percentage again similar to how we calculated it in the previous section:</w:t>
      </w:r>
    </w:p>
    <w:p w:rsidR="002E5AF1" w:rsidRDefault="002E5AF1" w:rsidP="002E5AF1">
      <w:pPr>
        <w:autoSpaceDE w:val="0"/>
        <w:autoSpaceDN w:val="0"/>
        <w:adjustRightInd w:val="0"/>
        <w:spacing w:after="0" w:line="240" w:lineRule="auto"/>
        <w:rPr>
          <w:rFonts w:cs="TimesNewRomanPSMT"/>
          <w:lang w:val="en-US"/>
        </w:rPr>
      </w:pPr>
    </w:p>
    <w:p w:rsidR="002E5AF1" w:rsidRDefault="002E5AF1" w:rsidP="002E5AF1">
      <w:r w:rsidRPr="00CD7DC6">
        <w:rPr>
          <w:position w:val="-28"/>
        </w:rPr>
        <w:object w:dxaOrig="2799" w:dyaOrig="660">
          <v:shape id="_x0000_i1026" type="#_x0000_t75" style="width:140.25pt;height:32.75pt" o:ole="">
            <v:imagedata r:id="rId12" o:title=""/>
          </v:shape>
          <o:OLEObject Type="Embed" ProgID="Equation.DSMT4" ShapeID="_x0000_i1026" DrawAspect="Content" ObjectID="_1339313437" r:id="rId13"/>
        </w:object>
      </w:r>
    </w:p>
    <w:p w:rsidR="002E5AF1" w:rsidRPr="002E5AF1" w:rsidRDefault="002E5AF1" w:rsidP="002E5AF1">
      <w:r w:rsidRPr="002E5AF1">
        <w:t>Explanations for why the yield is off from 100% by 10.1% are similar to that explained the previous section: instrumental errors and transfer left-</w:t>
      </w:r>
      <w:proofErr w:type="spellStart"/>
      <w:r w:rsidRPr="002E5AF1">
        <w:t>overs</w:t>
      </w:r>
      <w:proofErr w:type="spellEnd"/>
      <w:r w:rsidRPr="002E5AF1">
        <w:t>.</w:t>
      </w:r>
    </w:p>
    <w:p w:rsidR="00E1369E" w:rsidRDefault="002E5AF1" w:rsidP="00912E9F">
      <w:pPr>
        <w:pStyle w:val="Heading2"/>
        <w:rPr>
          <w:i/>
          <w:iCs/>
          <w:color w:val="auto"/>
          <w:sz w:val="22"/>
          <w:szCs w:val="22"/>
        </w:rPr>
      </w:pPr>
      <w:r>
        <w:rPr>
          <w:i/>
          <w:iCs/>
          <w:color w:val="auto"/>
          <w:sz w:val="22"/>
          <w:szCs w:val="22"/>
        </w:rPr>
        <w:t xml:space="preserve">Results Obtained from </w:t>
      </w:r>
      <w:r w:rsidR="00912E9F" w:rsidRPr="00A07549">
        <w:rPr>
          <w:i/>
          <w:iCs/>
          <w:color w:val="auto"/>
          <w:sz w:val="22"/>
          <w:szCs w:val="22"/>
        </w:rPr>
        <w:t>Fluorescence Procedure</w:t>
      </w:r>
    </w:p>
    <w:tbl>
      <w:tblPr>
        <w:tblW w:w="10045" w:type="dxa"/>
        <w:tblInd w:w="-14" w:type="dxa"/>
        <w:tblLook w:val="04A0"/>
      </w:tblPr>
      <w:tblGrid>
        <w:gridCol w:w="960"/>
        <w:gridCol w:w="960"/>
        <w:gridCol w:w="955"/>
        <w:gridCol w:w="649"/>
        <w:gridCol w:w="1005"/>
        <w:gridCol w:w="1221"/>
        <w:gridCol w:w="1196"/>
        <w:gridCol w:w="1196"/>
        <w:gridCol w:w="1052"/>
        <w:gridCol w:w="851"/>
      </w:tblGrid>
      <w:tr w:rsidR="00E1369E" w:rsidRPr="00A02843" w:rsidTr="008B1931">
        <w:trPr>
          <w:trHeight w:val="315"/>
        </w:trPr>
        <w:tc>
          <w:tcPr>
            <w:tcW w:w="96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4330AC">
            <w:pPr>
              <w:spacing w:after="0" w:line="240" w:lineRule="auto"/>
              <w:ind w:firstLineChars="100" w:firstLine="240"/>
              <w:rPr>
                <w:rFonts w:ascii="Calibri" w:eastAsia="Times New Roman" w:hAnsi="Calibri" w:cs="Times New Roman"/>
                <w:color w:val="000000"/>
                <w:lang w:val="en-US"/>
              </w:rPr>
            </w:pPr>
            <w:r w:rsidRPr="00A02843">
              <w:rPr>
                <w:rFonts w:ascii="Calibri" w:eastAsia="Times New Roman" w:hAnsi="Calibri" w:cs="Times New Roman"/>
                <w:color w:val="000000"/>
                <w:lang w:val="en-US"/>
              </w:rPr>
              <w:t> </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1</w:t>
            </w:r>
          </w:p>
        </w:tc>
        <w:tc>
          <w:tcPr>
            <w:tcW w:w="955"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2</w:t>
            </w:r>
          </w:p>
        </w:tc>
        <w:tc>
          <w:tcPr>
            <w:tcW w:w="649"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3</w:t>
            </w:r>
          </w:p>
        </w:tc>
        <w:tc>
          <w:tcPr>
            <w:tcW w:w="1005"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4</w:t>
            </w:r>
          </w:p>
        </w:tc>
        <w:tc>
          <w:tcPr>
            <w:tcW w:w="1221"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5</w:t>
            </w:r>
          </w:p>
        </w:tc>
        <w:tc>
          <w:tcPr>
            <w:tcW w:w="1196"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6</w:t>
            </w:r>
          </w:p>
        </w:tc>
        <w:tc>
          <w:tcPr>
            <w:tcW w:w="1196"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7</w:t>
            </w:r>
          </w:p>
        </w:tc>
        <w:tc>
          <w:tcPr>
            <w:tcW w:w="1052"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8</w:t>
            </w:r>
          </w:p>
        </w:tc>
        <w:tc>
          <w:tcPr>
            <w:tcW w:w="851"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9</w:t>
            </w:r>
          </w:p>
        </w:tc>
      </w:tr>
      <w:tr w:rsidR="00E1369E" w:rsidRPr="00A02843" w:rsidTr="008B1931">
        <w:trPr>
          <w:trHeight w:val="191"/>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A</w:t>
            </w:r>
          </w:p>
        </w:tc>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Blank</w:t>
            </w:r>
          </w:p>
        </w:tc>
        <w:tc>
          <w:tcPr>
            <w:tcW w:w="955"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649"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005"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0.1 g/l</w:t>
            </w:r>
          </w:p>
        </w:tc>
        <w:tc>
          <w:tcPr>
            <w:tcW w:w="1221"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0.025 g/l</w:t>
            </w:r>
          </w:p>
        </w:tc>
        <w:tc>
          <w:tcPr>
            <w:tcW w:w="1196"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0.0025 g/l</w:t>
            </w:r>
          </w:p>
        </w:tc>
        <w:tc>
          <w:tcPr>
            <w:tcW w:w="1196"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0.0005 g/l</w:t>
            </w:r>
          </w:p>
        </w:tc>
        <w:tc>
          <w:tcPr>
            <w:tcW w:w="1052"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1000x </w:t>
            </w:r>
            <w:proofErr w:type="spellStart"/>
            <w:r w:rsidRPr="00A07549">
              <w:rPr>
                <w:rFonts w:ascii="Calibri" w:eastAsia="Times New Roman" w:hAnsi="Calibri" w:cs="Times New Roman"/>
                <w:color w:val="000000"/>
                <w:sz w:val="22"/>
              </w:rPr>
              <w:t>Dil</w:t>
            </w:r>
            <w:proofErr w:type="spellEnd"/>
          </w:p>
        </w:tc>
        <w:tc>
          <w:tcPr>
            <w:tcW w:w="851" w:type="dxa"/>
            <w:tcBorders>
              <w:top w:val="single" w:sz="8" w:space="0" w:color="000000"/>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10x </w:t>
            </w:r>
            <w:proofErr w:type="spellStart"/>
            <w:r w:rsidRPr="00A07549">
              <w:rPr>
                <w:rFonts w:ascii="Calibri" w:eastAsia="Times New Roman" w:hAnsi="Calibri" w:cs="Times New Roman"/>
                <w:color w:val="000000"/>
                <w:sz w:val="22"/>
              </w:rPr>
              <w:t>Dil</w:t>
            </w:r>
            <w:proofErr w:type="spellEnd"/>
          </w:p>
        </w:tc>
      </w:tr>
      <w:tr w:rsidR="00E1369E" w:rsidRPr="00A02843" w:rsidTr="008B1931">
        <w:trPr>
          <w:trHeight w:val="308"/>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B</w:t>
            </w:r>
          </w:p>
        </w:tc>
        <w:tc>
          <w:tcPr>
            <w:tcW w:w="960" w:type="dxa"/>
            <w:tcBorders>
              <w:top w:val="nil"/>
              <w:left w:val="single" w:sz="8" w:space="0" w:color="000000"/>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Blank</w:t>
            </w:r>
          </w:p>
        </w:tc>
        <w:tc>
          <w:tcPr>
            <w:tcW w:w="95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649"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00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0.1 g/l</w:t>
            </w:r>
          </w:p>
        </w:tc>
        <w:tc>
          <w:tcPr>
            <w:tcW w:w="122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0.025 g/l</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0.0025 g/l</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0.0005 g/l</w:t>
            </w:r>
          </w:p>
        </w:tc>
        <w:tc>
          <w:tcPr>
            <w:tcW w:w="1052"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1000x </w:t>
            </w:r>
            <w:proofErr w:type="spellStart"/>
            <w:r w:rsidRPr="00A07549">
              <w:rPr>
                <w:rFonts w:ascii="Calibri" w:eastAsia="Times New Roman" w:hAnsi="Calibri" w:cs="Times New Roman"/>
                <w:color w:val="000000"/>
                <w:sz w:val="22"/>
              </w:rPr>
              <w:t>Dil</w:t>
            </w:r>
            <w:proofErr w:type="spellEnd"/>
          </w:p>
        </w:tc>
        <w:tc>
          <w:tcPr>
            <w:tcW w:w="85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10x </w:t>
            </w:r>
            <w:proofErr w:type="spellStart"/>
            <w:r w:rsidRPr="00A07549">
              <w:rPr>
                <w:rFonts w:ascii="Calibri" w:eastAsia="Times New Roman" w:hAnsi="Calibri" w:cs="Times New Roman"/>
                <w:color w:val="000000"/>
                <w:sz w:val="22"/>
              </w:rPr>
              <w:t>Dil</w:t>
            </w:r>
            <w:proofErr w:type="spellEnd"/>
          </w:p>
        </w:tc>
      </w:tr>
      <w:tr w:rsidR="00E1369E" w:rsidRPr="00A02843" w:rsidTr="008B1931">
        <w:trPr>
          <w:trHeight w:val="315"/>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C</w:t>
            </w:r>
          </w:p>
        </w:tc>
        <w:tc>
          <w:tcPr>
            <w:tcW w:w="960" w:type="dxa"/>
            <w:tcBorders>
              <w:top w:val="nil"/>
              <w:left w:val="single" w:sz="8" w:space="0" w:color="000000"/>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Stock</w:t>
            </w:r>
          </w:p>
        </w:tc>
        <w:tc>
          <w:tcPr>
            <w:tcW w:w="95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649"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00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22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052"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85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r>
      <w:tr w:rsidR="00E1369E" w:rsidRPr="00A02843" w:rsidTr="008B1931">
        <w:trPr>
          <w:trHeight w:val="219"/>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D</w:t>
            </w:r>
          </w:p>
        </w:tc>
        <w:tc>
          <w:tcPr>
            <w:tcW w:w="960" w:type="dxa"/>
            <w:tcBorders>
              <w:top w:val="nil"/>
              <w:left w:val="single" w:sz="8" w:space="0" w:color="000000"/>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Stock</w:t>
            </w:r>
          </w:p>
        </w:tc>
        <w:tc>
          <w:tcPr>
            <w:tcW w:w="95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649"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00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0.05 g/l</w:t>
            </w:r>
          </w:p>
        </w:tc>
        <w:tc>
          <w:tcPr>
            <w:tcW w:w="122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0.0075 g/l</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0.001 g/l</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10000x </w:t>
            </w:r>
            <w:proofErr w:type="spellStart"/>
            <w:r w:rsidRPr="00A07549">
              <w:rPr>
                <w:rFonts w:ascii="Calibri" w:eastAsia="Times New Roman" w:hAnsi="Calibri" w:cs="Times New Roman"/>
                <w:color w:val="000000"/>
                <w:sz w:val="22"/>
              </w:rPr>
              <w:t>Dil</w:t>
            </w:r>
            <w:proofErr w:type="spellEnd"/>
          </w:p>
        </w:tc>
        <w:tc>
          <w:tcPr>
            <w:tcW w:w="1052"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100x </w:t>
            </w:r>
            <w:proofErr w:type="spellStart"/>
            <w:r w:rsidRPr="00A07549">
              <w:rPr>
                <w:rFonts w:ascii="Calibri" w:eastAsia="Times New Roman" w:hAnsi="Calibri" w:cs="Times New Roman"/>
                <w:color w:val="000000"/>
                <w:sz w:val="22"/>
              </w:rPr>
              <w:t>Dil</w:t>
            </w:r>
            <w:proofErr w:type="spellEnd"/>
          </w:p>
        </w:tc>
        <w:tc>
          <w:tcPr>
            <w:tcW w:w="85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r>
      <w:tr w:rsidR="00E1369E" w:rsidRPr="00A02843" w:rsidTr="008B1931">
        <w:trPr>
          <w:trHeight w:val="337"/>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E</w:t>
            </w:r>
          </w:p>
        </w:tc>
        <w:tc>
          <w:tcPr>
            <w:tcW w:w="960" w:type="dxa"/>
            <w:tcBorders>
              <w:top w:val="nil"/>
              <w:left w:val="single" w:sz="8" w:space="0" w:color="000000"/>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0.25 g/l</w:t>
            </w:r>
          </w:p>
        </w:tc>
        <w:tc>
          <w:tcPr>
            <w:tcW w:w="95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0.25g/l</w:t>
            </w:r>
          </w:p>
        </w:tc>
        <w:tc>
          <w:tcPr>
            <w:tcW w:w="649"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c>
          <w:tcPr>
            <w:tcW w:w="1005"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0.05 g/l</w:t>
            </w:r>
          </w:p>
        </w:tc>
        <w:tc>
          <w:tcPr>
            <w:tcW w:w="122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0.0075 g/l</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0.001 g/l</w:t>
            </w:r>
          </w:p>
        </w:tc>
        <w:tc>
          <w:tcPr>
            <w:tcW w:w="1196"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10000x </w:t>
            </w:r>
            <w:proofErr w:type="spellStart"/>
            <w:r w:rsidRPr="00A07549">
              <w:rPr>
                <w:rFonts w:ascii="Calibri" w:eastAsia="Times New Roman" w:hAnsi="Calibri" w:cs="Times New Roman"/>
                <w:color w:val="000000"/>
                <w:sz w:val="22"/>
              </w:rPr>
              <w:t>Dil</w:t>
            </w:r>
            <w:proofErr w:type="spellEnd"/>
          </w:p>
        </w:tc>
        <w:tc>
          <w:tcPr>
            <w:tcW w:w="1052"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xml:space="preserve">100x </w:t>
            </w:r>
            <w:proofErr w:type="spellStart"/>
            <w:r w:rsidRPr="00A07549">
              <w:rPr>
                <w:rFonts w:ascii="Calibri" w:eastAsia="Times New Roman" w:hAnsi="Calibri" w:cs="Times New Roman"/>
                <w:color w:val="000000"/>
                <w:sz w:val="22"/>
              </w:rPr>
              <w:t>Dil</w:t>
            </w:r>
            <w:proofErr w:type="spellEnd"/>
          </w:p>
        </w:tc>
        <w:tc>
          <w:tcPr>
            <w:tcW w:w="851" w:type="dxa"/>
            <w:tcBorders>
              <w:top w:val="nil"/>
              <w:left w:val="nil"/>
              <w:bottom w:val="single" w:sz="8" w:space="0" w:color="000000"/>
              <w:right w:val="single" w:sz="8" w:space="0" w:color="000000"/>
            </w:tcBorders>
            <w:shd w:val="clear" w:color="auto" w:fill="auto"/>
            <w:hideMark/>
          </w:tcPr>
          <w:p w:rsidR="00E1369E" w:rsidRPr="00A07549" w:rsidRDefault="00E1369E" w:rsidP="008B1931">
            <w:pPr>
              <w:spacing w:after="0" w:line="240" w:lineRule="auto"/>
              <w:rPr>
                <w:rFonts w:ascii="Calibri" w:eastAsia="Times New Roman" w:hAnsi="Calibri" w:cs="Times New Roman"/>
                <w:color w:val="000000"/>
                <w:lang w:val="en-US"/>
              </w:rPr>
            </w:pPr>
            <w:r w:rsidRPr="00A07549">
              <w:rPr>
                <w:rFonts w:ascii="Calibri" w:eastAsia="Times New Roman" w:hAnsi="Calibri" w:cs="Times New Roman"/>
                <w:color w:val="000000"/>
                <w:sz w:val="22"/>
              </w:rPr>
              <w:t> </w:t>
            </w:r>
          </w:p>
        </w:tc>
      </w:tr>
    </w:tbl>
    <w:p w:rsidR="00E1369E" w:rsidRDefault="00E1369E" w:rsidP="00E1369E">
      <w:pPr>
        <w:pStyle w:val="Caption"/>
        <w:keepNext/>
        <w:jc w:val="center"/>
        <w:rPr>
          <w:color w:val="auto"/>
        </w:rPr>
      </w:pPr>
      <w:r w:rsidRPr="00A07549">
        <w:rPr>
          <w:color w:val="auto"/>
        </w:rPr>
        <w:t xml:space="preserve">Table </w:t>
      </w:r>
      <w:r w:rsidR="004345B6" w:rsidRPr="00A07549">
        <w:rPr>
          <w:color w:val="auto"/>
        </w:rPr>
        <w:fldChar w:fldCharType="begin"/>
      </w:r>
      <w:r w:rsidRPr="00A07549">
        <w:rPr>
          <w:color w:val="auto"/>
        </w:rPr>
        <w:instrText xml:space="preserve"> SEQ Table \* ARABIC </w:instrText>
      </w:r>
      <w:r w:rsidR="004345B6" w:rsidRPr="00A07549">
        <w:rPr>
          <w:color w:val="auto"/>
        </w:rPr>
        <w:fldChar w:fldCharType="separate"/>
      </w:r>
      <w:r w:rsidR="00076756">
        <w:rPr>
          <w:noProof/>
          <w:color w:val="auto"/>
        </w:rPr>
        <w:t>2</w:t>
      </w:r>
      <w:r w:rsidR="004345B6" w:rsidRPr="00A07549">
        <w:rPr>
          <w:color w:val="auto"/>
        </w:rPr>
        <w:fldChar w:fldCharType="end"/>
      </w:r>
      <w:r w:rsidRPr="00A07549">
        <w:rPr>
          <w:color w:val="auto"/>
        </w:rPr>
        <w:t>: Micro plate Layout</w:t>
      </w:r>
    </w:p>
    <w:tbl>
      <w:tblPr>
        <w:tblW w:w="9600" w:type="dxa"/>
        <w:tblInd w:w="-14" w:type="dxa"/>
        <w:tblLook w:val="04A0"/>
      </w:tblPr>
      <w:tblGrid>
        <w:gridCol w:w="960"/>
        <w:gridCol w:w="960"/>
        <w:gridCol w:w="960"/>
        <w:gridCol w:w="960"/>
        <w:gridCol w:w="960"/>
        <w:gridCol w:w="960"/>
        <w:gridCol w:w="960"/>
        <w:gridCol w:w="960"/>
        <w:gridCol w:w="960"/>
        <w:gridCol w:w="960"/>
      </w:tblGrid>
      <w:tr w:rsidR="00E1369E" w:rsidRPr="00A02843" w:rsidTr="008B1931">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4330AC">
            <w:pPr>
              <w:spacing w:after="0" w:line="240" w:lineRule="auto"/>
              <w:ind w:firstLineChars="100" w:firstLine="240"/>
              <w:rPr>
                <w:rFonts w:ascii="Calibri" w:eastAsia="Times New Roman" w:hAnsi="Calibri" w:cs="Times New Roman"/>
                <w:color w:val="000000"/>
                <w:lang w:val="en-US"/>
              </w:rPr>
            </w:pPr>
            <w:r w:rsidRPr="00A02843">
              <w:rPr>
                <w:rFonts w:ascii="Calibri" w:eastAsia="Times New Roman" w:hAnsi="Calibri" w:cs="Times New Roman"/>
                <w:color w:val="000000"/>
                <w:lang w:val="en-US"/>
              </w:rPr>
              <w:t> </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1</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2</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3</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4</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5</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6</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7</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8</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9</w:t>
            </w:r>
          </w:p>
        </w:tc>
      </w:tr>
      <w:tr w:rsidR="00E1369E" w:rsidRPr="00A02843" w:rsidTr="008B1931">
        <w:trPr>
          <w:trHeight w:val="162"/>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A</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0.018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1.672</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-0.055</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-0.155</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-0.201</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-0.258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-0.065</w:t>
            </w:r>
          </w:p>
        </w:tc>
      </w:tr>
      <w:tr w:rsidR="00E1369E" w:rsidRPr="00A02843" w:rsidTr="008B1931">
        <w:trPr>
          <w:trHeight w:val="193"/>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B</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-0.019</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1.404</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-0.042</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-0.052</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-0.1</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-0.234</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-0.028</w:t>
            </w:r>
          </w:p>
        </w:tc>
      </w:tr>
      <w:tr w:rsidR="00E1369E" w:rsidRPr="00A02843" w:rsidTr="008B1931">
        <w:trPr>
          <w:trHeight w:val="70"/>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C</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3.093</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r>
      <w:tr w:rsidR="00E1369E" w:rsidRPr="00A02843" w:rsidTr="008B1931">
        <w:trPr>
          <w:trHeight w:val="87"/>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D</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3.098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0.629</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-0.152</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-0.056</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-0.208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-0.218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 </w:t>
            </w:r>
          </w:p>
        </w:tc>
      </w:tr>
      <w:tr w:rsidR="00E1369E" w:rsidRPr="00A02843" w:rsidTr="008B1931">
        <w:trPr>
          <w:trHeight w:val="119"/>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E</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2.998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3.027</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0.618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-0.099</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-0.081</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-0.237</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-0.245</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 </w:t>
            </w:r>
          </w:p>
        </w:tc>
      </w:tr>
    </w:tbl>
    <w:p w:rsidR="00E1369E" w:rsidRPr="00A07549" w:rsidRDefault="00E1369E" w:rsidP="00E1369E">
      <w:pPr>
        <w:pStyle w:val="Caption"/>
        <w:keepNext/>
        <w:jc w:val="center"/>
        <w:rPr>
          <w:color w:val="auto"/>
        </w:rPr>
      </w:pPr>
      <w:r w:rsidRPr="00A07549">
        <w:rPr>
          <w:color w:val="auto"/>
        </w:rPr>
        <w:lastRenderedPageBreak/>
        <w:t xml:space="preserve">Table </w:t>
      </w:r>
      <w:r w:rsidR="004345B6" w:rsidRPr="00A07549">
        <w:rPr>
          <w:color w:val="auto"/>
        </w:rPr>
        <w:fldChar w:fldCharType="begin"/>
      </w:r>
      <w:r w:rsidRPr="00A07549">
        <w:rPr>
          <w:color w:val="auto"/>
        </w:rPr>
        <w:instrText xml:space="preserve"> SEQ Table \* ARABIC </w:instrText>
      </w:r>
      <w:r w:rsidR="004345B6" w:rsidRPr="00A07549">
        <w:rPr>
          <w:color w:val="auto"/>
        </w:rPr>
        <w:fldChar w:fldCharType="separate"/>
      </w:r>
      <w:r w:rsidR="00076756">
        <w:rPr>
          <w:noProof/>
          <w:color w:val="auto"/>
        </w:rPr>
        <w:t>3</w:t>
      </w:r>
      <w:r w:rsidR="004345B6" w:rsidRPr="00A07549">
        <w:rPr>
          <w:color w:val="auto"/>
        </w:rPr>
        <w:fldChar w:fldCharType="end"/>
      </w:r>
      <w:r w:rsidRPr="00A07549">
        <w:rPr>
          <w:color w:val="auto"/>
        </w:rPr>
        <w:t xml:space="preserve">: Absorption Values </w:t>
      </w:r>
      <w:r>
        <w:rPr>
          <w:color w:val="auto"/>
        </w:rPr>
        <w:t xml:space="preserve">obtained </w:t>
      </w:r>
      <w:r w:rsidRPr="00A07549">
        <w:rPr>
          <w:color w:val="auto"/>
        </w:rPr>
        <w:t xml:space="preserve">from </w:t>
      </w:r>
      <w:proofErr w:type="spellStart"/>
      <w:r w:rsidRPr="00A07549">
        <w:rPr>
          <w:color w:val="auto"/>
        </w:rPr>
        <w:t>Microplate</w:t>
      </w:r>
      <w:proofErr w:type="spellEnd"/>
    </w:p>
    <w:tbl>
      <w:tblPr>
        <w:tblW w:w="9600" w:type="dxa"/>
        <w:tblInd w:w="-14" w:type="dxa"/>
        <w:tblLook w:val="04A0"/>
      </w:tblPr>
      <w:tblGrid>
        <w:gridCol w:w="960"/>
        <w:gridCol w:w="960"/>
        <w:gridCol w:w="960"/>
        <w:gridCol w:w="960"/>
        <w:gridCol w:w="960"/>
        <w:gridCol w:w="960"/>
        <w:gridCol w:w="960"/>
        <w:gridCol w:w="960"/>
        <w:gridCol w:w="960"/>
        <w:gridCol w:w="960"/>
      </w:tblGrid>
      <w:tr w:rsidR="00E1369E" w:rsidRPr="00A02843" w:rsidTr="008B1931">
        <w:trPr>
          <w:trHeight w:val="300"/>
        </w:trPr>
        <w:tc>
          <w:tcPr>
            <w:tcW w:w="960"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4330AC">
            <w:pPr>
              <w:spacing w:after="0" w:line="240" w:lineRule="auto"/>
              <w:ind w:firstLineChars="100" w:firstLine="240"/>
              <w:rPr>
                <w:rFonts w:ascii="Calibri" w:eastAsia="Times New Roman" w:hAnsi="Calibri" w:cs="Times New Roman"/>
                <w:color w:val="000000"/>
                <w:lang w:val="en-US"/>
              </w:rPr>
            </w:pPr>
            <w:r w:rsidRPr="00A02843">
              <w:rPr>
                <w:rFonts w:ascii="Calibri" w:eastAsia="Times New Roman" w:hAnsi="Calibri" w:cs="Times New Roman"/>
                <w:color w:val="000000"/>
                <w:lang w:val="en-US"/>
              </w:rPr>
              <w:t> </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1</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2</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3</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4</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5</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6</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7</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8</w:t>
            </w:r>
          </w:p>
        </w:tc>
        <w:tc>
          <w:tcPr>
            <w:tcW w:w="960" w:type="dxa"/>
            <w:tcBorders>
              <w:top w:val="single" w:sz="4" w:space="0" w:color="000000"/>
              <w:left w:val="nil"/>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9</w:t>
            </w:r>
          </w:p>
        </w:tc>
      </w:tr>
      <w:tr w:rsidR="00E1369E" w:rsidRPr="00A02843" w:rsidTr="008B1931">
        <w:trPr>
          <w:trHeight w:val="64"/>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A</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-4</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3814</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895</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240</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40</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6</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1276</w:t>
            </w:r>
          </w:p>
        </w:tc>
      </w:tr>
      <w:tr w:rsidR="00E1369E" w:rsidRPr="00A02843" w:rsidTr="008B1931">
        <w:trPr>
          <w:trHeight w:val="207"/>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B</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4</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FF0000"/>
                <w:sz w:val="20"/>
                <w:szCs w:val="20"/>
                <w:lang w:val="en-US"/>
              </w:rPr>
            </w:pPr>
            <w:r w:rsidRPr="00A02843">
              <w:rPr>
                <w:rFonts w:ascii="Arial" w:eastAsia="Times New Roman" w:hAnsi="Arial" w:cs="Arial"/>
                <w:color w:val="FF000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4180</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1144</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287</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55</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12</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1690</w:t>
            </w:r>
          </w:p>
        </w:tc>
      </w:tr>
      <w:tr w:rsidR="00E1369E" w:rsidRPr="00A02843" w:rsidTr="008B1931">
        <w:trPr>
          <w:trHeight w:val="127"/>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C</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4637</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r>
      <w:tr w:rsidR="00E1369E" w:rsidRPr="00A02843" w:rsidTr="008B1931">
        <w:trPr>
          <w:trHeight w:val="291"/>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D</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4692</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3415</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906</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131</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-1</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160</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 </w:t>
            </w:r>
          </w:p>
        </w:tc>
      </w:tr>
      <w:tr w:rsidR="00E1369E" w:rsidRPr="00A02843" w:rsidTr="008B1931">
        <w:trPr>
          <w:trHeight w:val="64"/>
        </w:trPr>
        <w:tc>
          <w:tcPr>
            <w:tcW w:w="960" w:type="dxa"/>
            <w:tcBorders>
              <w:top w:val="nil"/>
              <w:left w:val="single" w:sz="4" w:space="0" w:color="000000"/>
              <w:bottom w:val="single" w:sz="4" w:space="0" w:color="000000"/>
              <w:right w:val="single" w:sz="4" w:space="0" w:color="000000"/>
            </w:tcBorders>
            <w:shd w:val="clear" w:color="000000" w:fill="99CCFF"/>
            <w:vAlign w:val="center"/>
            <w:hideMark/>
          </w:tcPr>
          <w:p w:rsidR="00E1369E" w:rsidRPr="00A02843" w:rsidRDefault="00E1369E" w:rsidP="008B1931">
            <w:pPr>
              <w:spacing w:after="0" w:line="240" w:lineRule="auto"/>
              <w:jc w:val="center"/>
              <w:rPr>
                <w:rFonts w:ascii="Arial" w:eastAsia="Times New Roman" w:hAnsi="Arial" w:cs="Arial"/>
                <w:b/>
                <w:bCs/>
                <w:color w:val="000000"/>
                <w:lang w:val="en-US"/>
              </w:rPr>
            </w:pPr>
            <w:r w:rsidRPr="00A02843">
              <w:rPr>
                <w:rFonts w:ascii="Arial" w:eastAsia="Times New Roman" w:hAnsi="Arial" w:cs="Arial"/>
                <w:b/>
                <w:bCs/>
                <w:color w:val="000000"/>
                <w:lang w:val="en-US"/>
              </w:rPr>
              <w:t>E</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4593</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4723</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 </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3689</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908</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80"/>
                <w:sz w:val="20"/>
                <w:szCs w:val="20"/>
                <w:lang w:val="en-US"/>
              </w:rPr>
            </w:pPr>
            <w:r w:rsidRPr="00A02843">
              <w:rPr>
                <w:rFonts w:ascii="Arial" w:eastAsia="Times New Roman" w:hAnsi="Arial" w:cs="Arial"/>
                <w:color w:val="000080"/>
                <w:sz w:val="20"/>
                <w:szCs w:val="20"/>
                <w:lang w:val="en-US"/>
              </w:rPr>
              <w:t>129</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0</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172</w:t>
            </w:r>
          </w:p>
        </w:tc>
        <w:tc>
          <w:tcPr>
            <w:tcW w:w="960" w:type="dxa"/>
            <w:tcBorders>
              <w:top w:val="nil"/>
              <w:left w:val="nil"/>
              <w:bottom w:val="single" w:sz="4" w:space="0" w:color="000000"/>
              <w:right w:val="single" w:sz="4" w:space="0" w:color="000000"/>
            </w:tcBorders>
            <w:shd w:val="clear" w:color="auto" w:fill="auto"/>
            <w:vAlign w:val="center"/>
            <w:hideMark/>
          </w:tcPr>
          <w:p w:rsidR="00E1369E" w:rsidRPr="00A02843" w:rsidRDefault="00E1369E" w:rsidP="008B1931">
            <w:pPr>
              <w:spacing w:after="0" w:line="240" w:lineRule="auto"/>
              <w:jc w:val="center"/>
              <w:rPr>
                <w:rFonts w:ascii="Arial" w:eastAsia="Times New Roman" w:hAnsi="Arial" w:cs="Arial"/>
                <w:color w:val="000000"/>
                <w:sz w:val="20"/>
                <w:szCs w:val="20"/>
                <w:lang w:val="en-US"/>
              </w:rPr>
            </w:pPr>
            <w:r w:rsidRPr="00A02843">
              <w:rPr>
                <w:rFonts w:ascii="Arial" w:eastAsia="Times New Roman" w:hAnsi="Arial" w:cs="Arial"/>
                <w:color w:val="000000"/>
                <w:sz w:val="20"/>
                <w:szCs w:val="20"/>
                <w:lang w:val="en-US"/>
              </w:rPr>
              <w:t> </w:t>
            </w:r>
          </w:p>
        </w:tc>
      </w:tr>
    </w:tbl>
    <w:p w:rsidR="00E1369E" w:rsidRPr="00A07549" w:rsidRDefault="00E1369E" w:rsidP="00E1369E">
      <w:pPr>
        <w:pStyle w:val="Caption"/>
        <w:keepNext/>
        <w:jc w:val="center"/>
        <w:rPr>
          <w:color w:val="auto"/>
        </w:rPr>
      </w:pPr>
      <w:r w:rsidRPr="00A07549">
        <w:rPr>
          <w:color w:val="auto"/>
        </w:rPr>
        <w:t xml:space="preserve">Table </w:t>
      </w:r>
      <w:r w:rsidR="004345B6" w:rsidRPr="00A07549">
        <w:rPr>
          <w:color w:val="auto"/>
        </w:rPr>
        <w:fldChar w:fldCharType="begin"/>
      </w:r>
      <w:r w:rsidRPr="00A07549">
        <w:rPr>
          <w:color w:val="auto"/>
        </w:rPr>
        <w:instrText xml:space="preserve"> SEQ Table \* ARABIC </w:instrText>
      </w:r>
      <w:r w:rsidR="004345B6" w:rsidRPr="00A07549">
        <w:rPr>
          <w:color w:val="auto"/>
        </w:rPr>
        <w:fldChar w:fldCharType="separate"/>
      </w:r>
      <w:r w:rsidR="00076756">
        <w:rPr>
          <w:noProof/>
          <w:color w:val="auto"/>
        </w:rPr>
        <w:t>4</w:t>
      </w:r>
      <w:r w:rsidR="004345B6" w:rsidRPr="00A07549">
        <w:rPr>
          <w:color w:val="auto"/>
        </w:rPr>
        <w:fldChar w:fldCharType="end"/>
      </w:r>
      <w:r w:rsidRPr="00A07549">
        <w:rPr>
          <w:color w:val="auto"/>
        </w:rPr>
        <w:t xml:space="preserve">: Fluorescence Values from </w:t>
      </w:r>
      <w:proofErr w:type="spellStart"/>
      <w:r w:rsidRPr="00A07549">
        <w:rPr>
          <w:color w:val="auto"/>
        </w:rPr>
        <w:t>Microplate</w:t>
      </w:r>
      <w:proofErr w:type="spellEnd"/>
    </w:p>
    <w:p w:rsidR="00B6472C" w:rsidRPr="00B6472C" w:rsidRDefault="009233FD" w:rsidP="00B6472C">
      <w:pPr>
        <w:pStyle w:val="Heading2"/>
        <w:rPr>
          <w:i/>
          <w:iCs/>
          <w:color w:val="auto"/>
          <w:sz w:val="22"/>
          <w:szCs w:val="22"/>
        </w:rPr>
      </w:pPr>
      <w:r>
        <w:rPr>
          <w:i/>
          <w:iCs/>
          <w:color w:val="auto"/>
          <w:sz w:val="22"/>
          <w:szCs w:val="22"/>
        </w:rPr>
        <w:t xml:space="preserve">Results Obtained from </w:t>
      </w:r>
      <w:r w:rsidR="00076756">
        <w:rPr>
          <w:i/>
          <w:iCs/>
          <w:color w:val="auto"/>
          <w:sz w:val="22"/>
          <w:szCs w:val="22"/>
        </w:rPr>
        <w:t>HPL</w:t>
      </w:r>
      <w:r w:rsidR="00912E9F" w:rsidRPr="00B6472C">
        <w:rPr>
          <w:i/>
          <w:iCs/>
          <w:color w:val="auto"/>
          <w:sz w:val="22"/>
          <w:szCs w:val="22"/>
        </w:rPr>
        <w:t>C Procedure</w:t>
      </w:r>
      <w:r w:rsidR="00B6472C">
        <w:rPr>
          <w:i/>
          <w:iCs/>
          <w:color w:val="auto"/>
          <w:sz w:val="22"/>
          <w:szCs w:val="22"/>
        </w:rPr>
        <w:br/>
      </w:r>
    </w:p>
    <w:p w:rsidR="00076756" w:rsidRPr="00076756" w:rsidRDefault="00076756" w:rsidP="00076756">
      <w:pPr>
        <w:pStyle w:val="Caption"/>
        <w:keepNext/>
        <w:rPr>
          <w:color w:val="auto"/>
        </w:rPr>
      </w:pPr>
      <w:bookmarkStart w:id="1" w:name="_Ref250304838"/>
      <w:r w:rsidRPr="00076756">
        <w:rPr>
          <w:color w:val="auto"/>
        </w:rPr>
        <w:t xml:space="preserve">Table </w:t>
      </w:r>
      <w:r w:rsidR="004345B6" w:rsidRPr="00076756">
        <w:rPr>
          <w:color w:val="auto"/>
        </w:rPr>
        <w:fldChar w:fldCharType="begin"/>
      </w:r>
      <w:r w:rsidRPr="00076756">
        <w:rPr>
          <w:color w:val="auto"/>
        </w:rPr>
        <w:instrText xml:space="preserve"> SEQ Table \* ARABIC </w:instrText>
      </w:r>
      <w:r w:rsidR="004345B6" w:rsidRPr="00076756">
        <w:rPr>
          <w:color w:val="auto"/>
        </w:rPr>
        <w:fldChar w:fldCharType="separate"/>
      </w:r>
      <w:r w:rsidRPr="00076756">
        <w:rPr>
          <w:color w:val="auto"/>
        </w:rPr>
        <w:t>5</w:t>
      </w:r>
      <w:r w:rsidR="004345B6" w:rsidRPr="00076756">
        <w:rPr>
          <w:color w:val="auto"/>
        </w:rPr>
        <w:fldChar w:fldCharType="end"/>
      </w:r>
      <w:bookmarkEnd w:id="1"/>
      <w:r w:rsidRPr="00076756">
        <w:rPr>
          <w:color w:val="auto"/>
        </w:rPr>
        <w:t xml:space="preserve"> HPLC Procedure Results</w:t>
      </w:r>
    </w:p>
    <w:tbl>
      <w:tblPr>
        <w:tblStyle w:val="TableGrid"/>
        <w:tblW w:w="0" w:type="auto"/>
        <w:tblLook w:val="04A0"/>
      </w:tblPr>
      <w:tblGrid>
        <w:gridCol w:w="2586"/>
        <w:gridCol w:w="1350"/>
        <w:gridCol w:w="2037"/>
        <w:gridCol w:w="1932"/>
      </w:tblGrid>
      <w:tr w:rsidR="00912E9F" w:rsidTr="009233FD">
        <w:tc>
          <w:tcPr>
            <w:tcW w:w="2586" w:type="dxa"/>
          </w:tcPr>
          <w:p w:rsidR="00912E9F" w:rsidRDefault="00912E9F" w:rsidP="00912E9F"/>
        </w:tc>
        <w:tc>
          <w:tcPr>
            <w:tcW w:w="1350" w:type="dxa"/>
          </w:tcPr>
          <w:p w:rsidR="00912E9F" w:rsidRPr="00B6472C" w:rsidRDefault="00912E9F" w:rsidP="00912E9F">
            <w:pPr>
              <w:rPr>
                <w:b/>
                <w:bCs/>
              </w:rPr>
            </w:pPr>
            <w:r w:rsidRPr="00B6472C">
              <w:rPr>
                <w:b/>
                <w:bCs/>
              </w:rPr>
              <w:t>Peak at</w:t>
            </w:r>
          </w:p>
        </w:tc>
        <w:tc>
          <w:tcPr>
            <w:tcW w:w="2037" w:type="dxa"/>
          </w:tcPr>
          <w:p w:rsidR="00912E9F" w:rsidRPr="00B6472C" w:rsidRDefault="00912E9F" w:rsidP="00912E9F">
            <w:pPr>
              <w:rPr>
                <w:b/>
                <w:bCs/>
              </w:rPr>
            </w:pPr>
            <w:r w:rsidRPr="00B6472C">
              <w:rPr>
                <w:b/>
                <w:bCs/>
              </w:rPr>
              <w:t>Retention Time</w:t>
            </w:r>
          </w:p>
        </w:tc>
        <w:tc>
          <w:tcPr>
            <w:tcW w:w="1932" w:type="dxa"/>
          </w:tcPr>
          <w:p w:rsidR="00912E9F" w:rsidRPr="00B6472C" w:rsidRDefault="00912E9F" w:rsidP="009233FD">
            <w:pPr>
              <w:rPr>
                <w:b/>
                <w:bCs/>
              </w:rPr>
            </w:pPr>
            <w:r w:rsidRPr="00B6472C">
              <w:rPr>
                <w:b/>
                <w:bCs/>
              </w:rPr>
              <w:t>Area</w:t>
            </w:r>
            <w:r w:rsidR="009233FD">
              <w:rPr>
                <w:b/>
                <w:bCs/>
              </w:rPr>
              <w:t xml:space="preserve"> Under Curve</w:t>
            </w:r>
          </w:p>
        </w:tc>
      </w:tr>
      <w:tr w:rsidR="00912E9F" w:rsidTr="009233FD">
        <w:tc>
          <w:tcPr>
            <w:tcW w:w="2586" w:type="dxa"/>
          </w:tcPr>
          <w:p w:rsidR="00912E9F" w:rsidRPr="00B6472C" w:rsidRDefault="00912E9F" w:rsidP="00912E9F">
            <w:pPr>
              <w:rPr>
                <w:b/>
                <w:bCs/>
              </w:rPr>
            </w:pPr>
            <w:r w:rsidRPr="00B6472C">
              <w:rPr>
                <w:b/>
                <w:bCs/>
              </w:rPr>
              <w:t xml:space="preserve">Standard </w:t>
            </w:r>
            <w:proofErr w:type="spellStart"/>
            <w:r w:rsidRPr="00B6472C">
              <w:rPr>
                <w:b/>
                <w:bCs/>
              </w:rPr>
              <w:t>Docetaxel</w:t>
            </w:r>
            <w:proofErr w:type="spellEnd"/>
            <w:r w:rsidRPr="00B6472C">
              <w:rPr>
                <w:b/>
                <w:bCs/>
              </w:rPr>
              <w:t xml:space="preserve"> 25 </w:t>
            </w:r>
            <w:proofErr w:type="spellStart"/>
            <w:r w:rsidRPr="00B6472C">
              <w:rPr>
                <w:b/>
                <w:bCs/>
              </w:rPr>
              <w:t>ppm</w:t>
            </w:r>
            <w:proofErr w:type="spellEnd"/>
            <w:r w:rsidRPr="00B6472C">
              <w:rPr>
                <w:b/>
                <w:bCs/>
              </w:rPr>
              <w:t xml:space="preserve"> in ACN</w:t>
            </w:r>
          </w:p>
        </w:tc>
        <w:tc>
          <w:tcPr>
            <w:tcW w:w="1350" w:type="dxa"/>
          </w:tcPr>
          <w:p w:rsidR="00912E9F" w:rsidRDefault="00912E9F" w:rsidP="00912E9F">
            <w:r>
              <w:t>22.7 nm</w:t>
            </w:r>
          </w:p>
        </w:tc>
        <w:tc>
          <w:tcPr>
            <w:tcW w:w="2037" w:type="dxa"/>
          </w:tcPr>
          <w:p w:rsidR="00912E9F" w:rsidRDefault="009233FD" w:rsidP="00912E9F">
            <w:r>
              <w:t>1.703 minutes</w:t>
            </w:r>
          </w:p>
        </w:tc>
        <w:tc>
          <w:tcPr>
            <w:tcW w:w="1932" w:type="dxa"/>
          </w:tcPr>
          <w:p w:rsidR="00912E9F" w:rsidRDefault="00912E9F" w:rsidP="00912E9F">
            <w:r>
              <w:t>791.3</w:t>
            </w:r>
          </w:p>
        </w:tc>
      </w:tr>
      <w:tr w:rsidR="00912E9F" w:rsidTr="009233FD">
        <w:tc>
          <w:tcPr>
            <w:tcW w:w="2586" w:type="dxa"/>
          </w:tcPr>
          <w:p w:rsidR="00912E9F" w:rsidRPr="00B6472C" w:rsidRDefault="00912E9F" w:rsidP="00912E9F">
            <w:pPr>
              <w:rPr>
                <w:b/>
                <w:bCs/>
              </w:rPr>
            </w:pPr>
            <w:r w:rsidRPr="00B6472C">
              <w:rPr>
                <w:b/>
                <w:bCs/>
              </w:rPr>
              <w:t xml:space="preserve">HPLC Sample with </w:t>
            </w:r>
            <w:proofErr w:type="spellStart"/>
            <w:r w:rsidRPr="00B6472C">
              <w:rPr>
                <w:b/>
                <w:bCs/>
              </w:rPr>
              <w:t>Docetaxel</w:t>
            </w:r>
            <w:proofErr w:type="spellEnd"/>
          </w:p>
        </w:tc>
        <w:tc>
          <w:tcPr>
            <w:tcW w:w="1350" w:type="dxa"/>
          </w:tcPr>
          <w:p w:rsidR="00912E9F" w:rsidRDefault="00912E9F" w:rsidP="00912E9F">
            <w:r>
              <w:t>22.7 nm</w:t>
            </w:r>
          </w:p>
        </w:tc>
        <w:tc>
          <w:tcPr>
            <w:tcW w:w="2037" w:type="dxa"/>
          </w:tcPr>
          <w:p w:rsidR="00912E9F" w:rsidRDefault="009233FD" w:rsidP="00912E9F">
            <w:r>
              <w:t>1.683 minutes</w:t>
            </w:r>
          </w:p>
        </w:tc>
        <w:tc>
          <w:tcPr>
            <w:tcW w:w="1932" w:type="dxa"/>
          </w:tcPr>
          <w:p w:rsidR="00912E9F" w:rsidRDefault="00912E9F" w:rsidP="00912E9F">
            <w:r>
              <w:t>882.5</w:t>
            </w:r>
          </w:p>
        </w:tc>
      </w:tr>
    </w:tbl>
    <w:p w:rsidR="00C97B28" w:rsidRDefault="00C97B28" w:rsidP="00C97B28">
      <w:pPr>
        <w:rPr>
          <w:b/>
        </w:rPr>
      </w:pPr>
    </w:p>
    <w:p w:rsidR="00C97B28" w:rsidRDefault="00C97B28" w:rsidP="00C97B28">
      <w:pPr>
        <w:pStyle w:val="Heading3"/>
      </w:pPr>
      <w:r>
        <w:t>Discussion and Analysis of Data</w:t>
      </w:r>
      <w:r>
        <w:br/>
      </w:r>
    </w:p>
    <w:p w:rsidR="00890966" w:rsidRPr="00DC7105" w:rsidRDefault="00890966" w:rsidP="00C97B28">
      <w:pPr>
        <w:rPr>
          <w:b/>
          <w:sz w:val="28"/>
          <w:szCs w:val="28"/>
        </w:rPr>
      </w:pPr>
      <w:r w:rsidRPr="00DC7105">
        <w:rPr>
          <w:rFonts w:hint="eastAsia"/>
          <w:b/>
          <w:sz w:val="28"/>
          <w:szCs w:val="28"/>
        </w:rPr>
        <w:t>Question 1</w:t>
      </w:r>
    </w:p>
    <w:p w:rsidR="00890966" w:rsidRPr="00E26280" w:rsidRDefault="00890966" w:rsidP="00890966">
      <w:pPr>
        <w:rPr>
          <w:b/>
          <w:i/>
          <w:iCs/>
        </w:rPr>
      </w:pPr>
      <w:proofErr w:type="spellStart"/>
      <w:r w:rsidRPr="00E26280">
        <w:rPr>
          <w:b/>
          <w:i/>
          <w:iCs/>
        </w:rPr>
        <w:t>D</w:t>
      </w:r>
      <w:r w:rsidRPr="00E26280">
        <w:rPr>
          <w:rFonts w:hint="eastAsia"/>
          <w:b/>
          <w:i/>
          <w:iCs/>
        </w:rPr>
        <w:t>ocetaxel</w:t>
      </w:r>
      <w:proofErr w:type="spellEnd"/>
    </w:p>
    <w:p w:rsidR="00890966" w:rsidRDefault="00076756" w:rsidP="00076756">
      <w:r>
        <w:t xml:space="preserve">From </w:t>
      </w:r>
      <w:r w:rsidR="004345B6">
        <w:fldChar w:fldCharType="begin"/>
      </w:r>
      <w:r>
        <w:instrText xml:space="preserve"> REF _Ref250304838 \h </w:instrText>
      </w:r>
      <w:r w:rsidR="004345B6">
        <w:fldChar w:fldCharType="separate"/>
      </w:r>
      <w:r w:rsidRPr="00076756">
        <w:t>Table 5</w:t>
      </w:r>
      <w:r w:rsidR="004345B6">
        <w:fldChar w:fldCharType="end"/>
      </w:r>
      <w:r>
        <w:t xml:space="preserve">, we see that the 22ppm </w:t>
      </w:r>
      <w:proofErr w:type="spellStart"/>
      <w:r>
        <w:t>docetaxel</w:t>
      </w:r>
      <w:proofErr w:type="spellEnd"/>
      <w:r>
        <w:t xml:space="preserve"> standard in ACN has an area-under-curve (AUC) of 791.3. Our own sample solution with </w:t>
      </w:r>
      <w:proofErr w:type="spellStart"/>
      <w:r>
        <w:t>docetaxel</w:t>
      </w:r>
      <w:proofErr w:type="spellEnd"/>
      <w:r>
        <w:t xml:space="preserve"> encapsulated in it has an AUC of 882.5. We use the fact that AUC is directly proportional to concentration. Thus, the ratios of AUCs must equal the ratios of concentrations of the sample and standard. We can use this fact to determine the concentration (in </w:t>
      </w:r>
      <w:proofErr w:type="spellStart"/>
      <w:r>
        <w:t>ppm</w:t>
      </w:r>
      <w:proofErr w:type="spellEnd"/>
      <w:r>
        <w:t>) of our sample in the following manner:</w:t>
      </w:r>
    </w:p>
    <w:p w:rsidR="00890966" w:rsidRPr="00076756" w:rsidRDefault="004345B6" w:rsidP="00890966">
      <m:oMathPara>
        <m:oMath>
          <m:f>
            <m:fPr>
              <m:ctrlPr>
                <w:rPr>
                  <w:rFonts w:ascii="Cambria Math" w:hAnsi="Cambria Math"/>
                </w:rPr>
              </m:ctrlPr>
            </m:fPr>
            <m:num>
              <m:r>
                <m:rPr>
                  <m:sty m:val="p"/>
                </m:rPr>
                <w:rPr>
                  <w:rFonts w:ascii="Cambria Math"/>
                </w:rPr>
                <m:t>25 ppm</m:t>
              </m:r>
            </m:num>
            <m:den>
              <m:r>
                <m:rPr>
                  <m:sty m:val="p"/>
                </m:rPr>
                <w:rPr>
                  <w:rFonts w:ascii="Cambria Math"/>
                </w:rPr>
                <m:t>791.3 AC</m:t>
              </m:r>
            </m:den>
          </m:f>
          <m:r>
            <m:rPr>
              <m:sty m:val="p"/>
            </m:rPr>
            <w:rPr>
              <w:rFonts w:ascii="Cambria Math"/>
            </w:rPr>
            <m:t xml:space="preserve">= </m:t>
          </m:r>
          <m:f>
            <m:fPr>
              <m:ctrlPr>
                <w:rPr>
                  <w:rFonts w:ascii="Cambria Math" w:hAnsi="Cambria Math"/>
                </w:rPr>
              </m:ctrlPr>
            </m:fPr>
            <m:num>
              <m:r>
                <m:rPr>
                  <m:sty m:val="p"/>
                </m:rPr>
                <w:rPr>
                  <w:rFonts w:ascii="Cambria Math"/>
                </w:rPr>
                <m:t>[Sample]</m:t>
              </m:r>
            </m:num>
            <m:den>
              <m:r>
                <m:rPr>
                  <m:sty m:val="p"/>
                </m:rPr>
                <w:rPr>
                  <w:rFonts w:ascii="Cambria Math"/>
                </w:rPr>
                <m:t>882.5 AC</m:t>
              </m:r>
            </m:den>
          </m:f>
        </m:oMath>
      </m:oMathPara>
    </w:p>
    <w:p w:rsidR="00890966" w:rsidRPr="00076756" w:rsidRDefault="004345B6" w:rsidP="00890966">
      <m:oMathPara>
        <m:oMath>
          <m:d>
            <m:dPr>
              <m:begChr m:val="["/>
              <m:endChr m:val="]"/>
              <m:ctrlPr>
                <w:rPr>
                  <w:rFonts w:ascii="Cambria Math" w:hAnsi="Cambria Math"/>
                </w:rPr>
              </m:ctrlPr>
            </m:dPr>
            <m:e>
              <m:r>
                <m:rPr>
                  <m:sty m:val="p"/>
                </m:rPr>
                <w:rPr>
                  <w:rFonts w:ascii="Cambria Math"/>
                </w:rPr>
                <m:t>Sample</m:t>
              </m:r>
            </m:e>
          </m:d>
          <m:r>
            <m:rPr>
              <m:sty m:val="p"/>
            </m:rPr>
            <w:rPr>
              <w:rFonts w:ascii="Cambria Math"/>
            </w:rPr>
            <m:t>=25 ppm</m:t>
          </m:r>
          <m:r>
            <m:rPr>
              <m:sty m:val="p"/>
            </m:rPr>
            <w:rPr>
              <w:rFonts w:ascii="Cambria Math"/>
            </w:rPr>
            <m:t>×</m:t>
          </m:r>
          <m:f>
            <m:fPr>
              <m:ctrlPr>
                <w:rPr>
                  <w:rFonts w:ascii="Cambria Math" w:hAnsi="Cambria Math"/>
                </w:rPr>
              </m:ctrlPr>
            </m:fPr>
            <m:num>
              <m:r>
                <m:rPr>
                  <m:sty m:val="p"/>
                </m:rPr>
                <w:rPr>
                  <w:rFonts w:ascii="Cambria Math"/>
                </w:rPr>
                <m:t>882.5 AC</m:t>
              </m:r>
            </m:num>
            <m:den>
              <m:r>
                <m:rPr>
                  <m:sty m:val="p"/>
                </m:rPr>
                <w:rPr>
                  <w:rFonts w:ascii="Cambria Math"/>
                </w:rPr>
                <m:t>791.3 AC</m:t>
              </m:r>
            </m:den>
          </m:f>
          <m:r>
            <m:rPr>
              <m:sty m:val="p"/>
            </m:rPr>
            <w:rPr>
              <w:rFonts w:ascii="Cambria Math"/>
            </w:rPr>
            <m:t>=27.88 ppm</m:t>
          </m:r>
        </m:oMath>
      </m:oMathPara>
    </w:p>
    <w:p w:rsidR="00890966" w:rsidRDefault="00890966" w:rsidP="00890966">
      <w:r>
        <w:rPr>
          <w:rFonts w:hint="eastAsia"/>
        </w:rPr>
        <w:t>Therefo</w:t>
      </w:r>
      <w:r w:rsidR="00076756">
        <w:rPr>
          <w:rFonts w:hint="eastAsia"/>
        </w:rPr>
        <w:t>re, the concentration of the H</w:t>
      </w:r>
      <w:r w:rsidR="00076756">
        <w:t>PL</w:t>
      </w:r>
      <w:r>
        <w:rPr>
          <w:rFonts w:hint="eastAsia"/>
        </w:rPr>
        <w:t xml:space="preserve">C Sample is </w:t>
      </w:r>
      <w:r w:rsidRPr="00076756">
        <w:rPr>
          <w:rFonts w:hint="eastAsia"/>
          <w:b/>
          <w:bCs/>
        </w:rPr>
        <w:t xml:space="preserve">27.88 </w:t>
      </w:r>
      <w:proofErr w:type="spellStart"/>
      <w:r w:rsidRPr="00076756">
        <w:rPr>
          <w:rFonts w:hint="eastAsia"/>
          <w:b/>
          <w:bCs/>
        </w:rPr>
        <w:t>ppm</w:t>
      </w:r>
      <w:proofErr w:type="spellEnd"/>
    </w:p>
    <w:p w:rsidR="00076756" w:rsidRDefault="00076756" w:rsidP="00076756">
      <w:r>
        <w:t>Using the fact that ACN has a density of 0.786 g/</w:t>
      </w:r>
      <w:proofErr w:type="spellStart"/>
      <w:r>
        <w:t>mL</w:t>
      </w:r>
      <w:proofErr w:type="spellEnd"/>
      <w:r>
        <w:t xml:space="preserve">, we can convert the concentration of our sample from </w:t>
      </w:r>
      <w:proofErr w:type="spellStart"/>
      <w:r>
        <w:t>ppm</w:t>
      </w:r>
      <w:proofErr w:type="spellEnd"/>
      <w:r>
        <w:t xml:space="preserve"> (parts per million) to the more familiar units of g/L:</w:t>
      </w:r>
    </w:p>
    <w:p w:rsidR="00890966" w:rsidRDefault="004345B6" w:rsidP="00AD3BCC">
      <w:pPr>
        <w:jc w:val="center"/>
      </w:pPr>
      <m:oMath>
        <m:f>
          <m:fPr>
            <m:ctrlPr>
              <w:rPr>
                <w:rFonts w:ascii="Cambria Math" w:hAnsi="Cambria Math"/>
              </w:rPr>
            </m:ctrlPr>
          </m:fPr>
          <m:num>
            <m:r>
              <m:rPr>
                <m:sty m:val="p"/>
              </m:rPr>
              <w:rPr>
                <w:rFonts w:ascii="Cambria Math" w:hAnsi="Cambria Math"/>
              </w:rPr>
              <m:t>27.88</m:t>
            </m:r>
          </m:num>
          <m:den>
            <m:r>
              <m:rPr>
                <m:sty m:val="p"/>
              </m:rPr>
              <w:rPr>
                <w:rFonts w:ascii="Cambria Math" w:hAnsi="Cambria Math"/>
              </w:rPr>
              <m:t>1000000</m:t>
            </m:r>
          </m:den>
        </m:f>
        <m:r>
          <m:rPr>
            <m:sty m:val="p"/>
          </m:rPr>
          <w:rPr>
            <w:rFonts w:ascii="Cambria Math" w:hAnsi="Cambria Math"/>
          </w:rPr>
          <m:t>×</m:t>
        </m:r>
        <m:r>
          <m:rPr>
            <m:sty m:val="p"/>
          </m:rPr>
          <w:rPr>
            <w:rFonts w:ascii="Cambria Math" w:hAnsi="Cambria Math" w:hint="eastAsia"/>
          </w:rPr>
          <m:t>0.786</m:t>
        </m:r>
        <m:f>
          <m:fPr>
            <m:ctrlPr>
              <w:rPr>
                <w:rFonts w:ascii="Cambria Math" w:hAnsi="Cambria Math"/>
              </w:rPr>
            </m:ctrlPr>
          </m:fPr>
          <m:num>
            <m:r>
              <m:rPr>
                <m:sty m:val="p"/>
              </m:rPr>
              <w:rPr>
                <w:rFonts w:ascii="Cambria Math" w:hAnsi="Cambria Math" w:hint="eastAsia"/>
              </w:rPr>
              <m:t>g</m:t>
            </m:r>
            <m:ctrlPr>
              <w:rPr>
                <w:rFonts w:ascii="Cambria Math" w:hAnsi="Cambria Math" w:hint="eastAsia"/>
              </w:rPr>
            </m:ctrlPr>
          </m:num>
          <m:den>
            <m:r>
              <m:rPr>
                <m:sty m:val="p"/>
              </m:rPr>
              <w:rPr>
                <w:rFonts w:ascii="Cambria Math" w:hAnsi="Cambria Math" w:hint="eastAsia"/>
              </w:rPr>
              <m:t>m</m:t>
            </m:r>
            <m:r>
              <m:rPr>
                <m:sty m:val="p"/>
              </m:rPr>
              <w:rPr>
                <w:rFonts w:ascii="Cambria Math" w:hAnsi="Cambria Math"/>
              </w:rPr>
              <m:t>L</m:t>
            </m:r>
            <m:ctrlPr>
              <w:rPr>
                <w:rFonts w:ascii="Cambria Math" w:hAnsi="Cambria Math" w:hint="eastAsia"/>
              </w:rPr>
            </m:ctrlPr>
          </m:den>
        </m:f>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1000 mL</m:t>
            </m:r>
          </m:num>
          <m:den>
            <m:r>
              <m:rPr>
                <m:sty m:val="p"/>
              </m:rPr>
              <w:rPr>
                <w:rFonts w:ascii="Cambria Math" w:hAnsi="Cambria Math" w:cs="Cambria Math"/>
              </w:rPr>
              <m:t>1 L</m:t>
            </m:r>
          </m:den>
        </m:f>
        <m:r>
          <m:rPr>
            <m:sty m:val="p"/>
          </m:rPr>
          <w:rPr>
            <w:rFonts w:ascii="Cambria Math" w:hAnsi="Cambria Math" w:cs="Cambria Math"/>
          </w:rPr>
          <m:t>=0.0219 g/L</m:t>
        </m:r>
      </m:oMath>
      <w:r w:rsidR="00890966">
        <w:rPr>
          <w:rFonts w:hint="eastAsia"/>
        </w:rPr>
        <w:t xml:space="preserve"> </w:t>
      </w:r>
    </w:p>
    <w:p w:rsidR="00890966" w:rsidRDefault="00AD3BCC" w:rsidP="00D55522">
      <w:r>
        <w:lastRenderedPageBreak/>
        <w:t xml:space="preserve">At a volume of 500 </w:t>
      </w:r>
      <w:r w:rsidRPr="00AD3BCC">
        <w:rPr>
          <w:rFonts w:ascii="Symbol" w:hAnsi="Symbol"/>
        </w:rPr>
        <w:t></w:t>
      </w:r>
      <w:r>
        <w:t xml:space="preserve">l, </w:t>
      </w:r>
      <w:r w:rsidR="004F670F">
        <w:t>we obtain a mass of:</w:t>
      </w:r>
    </w:p>
    <w:p w:rsidR="00890966" w:rsidRDefault="00890966" w:rsidP="00AD3BCC">
      <m:oMathPara>
        <m:oMath>
          <m:r>
            <m:rPr>
              <m:sty m:val="p"/>
            </m:rPr>
            <w:rPr>
              <w:rFonts w:ascii="Cambria Math" w:hAnsi="Cambria Math" w:cs="Cambria Math"/>
            </w:rPr>
            <m:t>0.0219</m:t>
          </m:r>
          <m:f>
            <m:fPr>
              <m:ctrlPr>
                <w:rPr>
                  <w:rFonts w:ascii="Cambria Math" w:hAnsi="Cambria Math" w:cs="Cambria Math"/>
                </w:rPr>
              </m:ctrlPr>
            </m:fPr>
            <m:num>
              <m:r>
                <m:rPr>
                  <m:sty m:val="p"/>
                </m:rPr>
                <w:rPr>
                  <w:rFonts w:ascii="Cambria Math" w:hAnsi="Cambria Math" w:cs="Cambria Math"/>
                </w:rPr>
                <m:t>g</m:t>
              </m:r>
            </m:num>
            <m:den>
              <m:r>
                <m:rPr>
                  <m:sty m:val="p"/>
                </m:rPr>
                <w:rPr>
                  <w:rFonts w:ascii="Cambria Math" w:hAnsi="Cambria Math" w:cs="Cambria Math"/>
                </w:rPr>
                <m:t>L</m:t>
              </m:r>
            </m:den>
          </m:f>
          <m:r>
            <m:rPr>
              <m:sty m:val="p"/>
            </m:rPr>
            <w:rPr>
              <w:rFonts w:ascii="Cambria Math" w:hAnsi="Cambria Math" w:cs="Cambria Math"/>
            </w:rPr>
            <m:t>×500 uL ×</m:t>
          </m:r>
          <m:f>
            <m:fPr>
              <m:ctrlPr>
                <w:rPr>
                  <w:rFonts w:ascii="Cambria Math" w:hAnsi="Cambria Math" w:cs="Cambria Math"/>
                </w:rPr>
              </m:ctrlPr>
            </m:fPr>
            <m:num>
              <m:r>
                <m:rPr>
                  <m:sty m:val="p"/>
                </m:rPr>
                <w:rPr>
                  <w:rFonts w:ascii="Cambria Math" w:hAnsi="Cambria Math" w:cs="Cambria Math"/>
                </w:rPr>
                <m:t>1 l</m:t>
              </m:r>
            </m:num>
            <m:den>
              <m:r>
                <m:rPr>
                  <m:sty m:val="p"/>
                </m:rPr>
                <w:rPr>
                  <w:rFonts w:ascii="Cambria Math" w:hAnsi="Cambria Math" w:cs="Cambria Math"/>
                </w:rPr>
                <m:t>1000000 uL</m:t>
              </m:r>
            </m:den>
          </m:f>
          <m:r>
            <m:rPr>
              <m:sty m:val="p"/>
            </m:rPr>
            <w:rPr>
              <w:rFonts w:ascii="Cambria Math" w:hAnsi="Cambria Math" w:cs="Cambria Math"/>
            </w:rPr>
            <m:t>=0.010956 mg</m:t>
          </m:r>
        </m:oMath>
      </m:oMathPara>
    </w:p>
    <w:p w:rsidR="004F670F" w:rsidRDefault="004F670F" w:rsidP="00890966">
      <w:r>
        <w:t xml:space="preserve">We can now proceed to calculate the encapsulation efficiency of </w:t>
      </w:r>
      <w:proofErr w:type="spellStart"/>
      <w:r>
        <w:t>docetaxel</w:t>
      </w:r>
      <w:proofErr w:type="spellEnd"/>
      <w:r>
        <w:t xml:space="preserve"> which was encapsulated using </w:t>
      </w:r>
      <w:proofErr w:type="spellStart"/>
      <w:r>
        <w:t>nanoprecipitation</w:t>
      </w:r>
      <w:proofErr w:type="spellEnd"/>
      <w:r>
        <w:t xml:space="preserve">. We observe that the total mass of drug added initially was 0.1 mg; however, only 87.1% was actually put to use as seen in Lab 1. Thus, only 0.0871 mg of </w:t>
      </w:r>
      <w:proofErr w:type="spellStart"/>
      <w:r>
        <w:t>docetaxel</w:t>
      </w:r>
      <w:proofErr w:type="spellEnd"/>
      <w:r>
        <w:t xml:space="preserve"> was put to use. The encapsulation efficiency of </w:t>
      </w:r>
      <w:proofErr w:type="spellStart"/>
      <w:r>
        <w:t>docetaxel</w:t>
      </w:r>
      <w:proofErr w:type="spellEnd"/>
      <w:r>
        <w:t xml:space="preserve"> is therefore:</w:t>
      </w:r>
    </w:p>
    <w:p w:rsidR="00890966" w:rsidRDefault="00890966" w:rsidP="004F670F">
      <m:oMathPara>
        <m:oMath>
          <m:r>
            <w:rPr>
              <w:rFonts w:ascii="Cambria Math" w:hAnsi="Cambria Math"/>
            </w:rPr>
            <m:t xml:space="preserve">E.E= </m:t>
          </m:r>
          <m:f>
            <m:fPr>
              <m:ctrlPr>
                <w:rPr>
                  <w:rFonts w:ascii="Cambria Math" w:hAnsi="Cambria Math"/>
                  <w:i/>
                </w:rPr>
              </m:ctrlPr>
            </m:fPr>
            <m:num>
              <m:r>
                <w:rPr>
                  <w:rFonts w:ascii="Cambria Math" w:hAnsi="Cambria Math"/>
                </w:rPr>
                <m:t>0.010956 mg</m:t>
              </m:r>
            </m:num>
            <m:den>
              <m:r>
                <w:rPr>
                  <w:rFonts w:ascii="Cambria Math" w:hAnsi="Cambria Math"/>
                </w:rPr>
                <m:t>0.0871 mg</m:t>
              </m:r>
            </m:den>
          </m:f>
          <m:r>
            <w:rPr>
              <w:rFonts w:ascii="Cambria Math" w:hAnsi="Cambria Math"/>
            </w:rPr>
            <m:t>=0.1258=12.6%</m:t>
          </m:r>
        </m:oMath>
      </m:oMathPara>
    </w:p>
    <w:p w:rsidR="00890966" w:rsidRPr="00E26280" w:rsidRDefault="00890966" w:rsidP="00890966">
      <w:pPr>
        <w:rPr>
          <w:b/>
          <w:i/>
          <w:iCs/>
        </w:rPr>
      </w:pPr>
      <w:r w:rsidRPr="00E26280">
        <w:rPr>
          <w:b/>
          <w:i/>
          <w:iCs/>
        </w:rPr>
        <w:t>Doxorubicin</w:t>
      </w:r>
    </w:p>
    <w:p w:rsidR="00890966" w:rsidRPr="00CE1F35" w:rsidRDefault="00DD1F68" w:rsidP="00BA745D">
      <w:pPr>
        <w:rPr>
          <w:color w:val="000000"/>
        </w:rPr>
      </w:pPr>
      <w:r>
        <w:rPr>
          <w:color w:val="000000"/>
        </w:rPr>
        <w:t xml:space="preserve">The following graph plots fluorescence as a function of concentration. We observe a linear relationship between the two variables, i.e. fluorescence intensity increases with concentration. A linear </w:t>
      </w:r>
      <w:proofErr w:type="spellStart"/>
      <w:r>
        <w:rPr>
          <w:color w:val="000000"/>
        </w:rPr>
        <w:t>trendline</w:t>
      </w:r>
      <w:proofErr w:type="spellEnd"/>
      <w:r>
        <w:rPr>
          <w:color w:val="000000"/>
        </w:rPr>
        <w:t xml:space="preserve"> was generated in Excel</w:t>
      </w:r>
      <w:r w:rsidR="00BA745D">
        <w:rPr>
          <w:color w:val="000000"/>
        </w:rPr>
        <w:t>,</w:t>
      </w:r>
      <w:r>
        <w:rPr>
          <w:color w:val="000000"/>
        </w:rPr>
        <w:t xml:space="preserve"> </w:t>
      </w:r>
      <w:r w:rsidR="00BA745D">
        <w:rPr>
          <w:color w:val="000000"/>
        </w:rPr>
        <w:t xml:space="preserve">and the </w:t>
      </w:r>
      <w:r>
        <w:rPr>
          <w:color w:val="000000"/>
        </w:rPr>
        <w:t xml:space="preserve">slope </w:t>
      </w:r>
      <w:r w:rsidR="00BA745D">
        <w:rPr>
          <w:color w:val="000000"/>
        </w:rPr>
        <w:t xml:space="preserve">was determined to be </w:t>
      </w:r>
      <w:r>
        <w:rPr>
          <w:color w:val="000000"/>
        </w:rPr>
        <w:t>119451.</w:t>
      </w:r>
      <w:r w:rsidR="00890966">
        <w:rPr>
          <w:color w:val="000000"/>
        </w:rPr>
        <w:t xml:space="preserve"> </w:t>
      </w:r>
    </w:p>
    <w:p w:rsidR="00890966" w:rsidRPr="00CE1F35" w:rsidRDefault="00890966" w:rsidP="00DD1F68">
      <w:pPr>
        <w:jc w:val="center"/>
        <w:rPr>
          <w:color w:val="000000"/>
        </w:rPr>
      </w:pPr>
      <w:r w:rsidRPr="00CE1F35">
        <w:rPr>
          <w:noProof/>
          <w:color w:val="000000"/>
          <w:lang w:eastAsia="en-CA"/>
        </w:rPr>
        <w:drawing>
          <wp:inline distT="0" distB="0" distL="0" distR="0">
            <wp:extent cx="4630588" cy="1978361"/>
            <wp:effectExtent l="19050" t="0" r="17612" b="2839"/>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0966" w:rsidRPr="00CE1F35" w:rsidRDefault="00BA745D" w:rsidP="00BA745D">
      <w:pPr>
        <w:rPr>
          <w:color w:val="000000"/>
        </w:rPr>
      </w:pPr>
      <w:r>
        <w:rPr>
          <w:color w:val="000000"/>
        </w:rPr>
        <w:t>Using this slope, we can obtain the concentration of our sample as shown in the following table:</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977"/>
        <w:gridCol w:w="2693"/>
      </w:tblGrid>
      <w:tr w:rsidR="00D55522" w:rsidRPr="00CE1F35" w:rsidTr="00BA745D">
        <w:trPr>
          <w:trHeight w:val="315"/>
          <w:jc w:val="center"/>
        </w:trPr>
        <w:tc>
          <w:tcPr>
            <w:tcW w:w="2268" w:type="dxa"/>
            <w:shd w:val="clear" w:color="auto" w:fill="auto"/>
            <w:vAlign w:val="center"/>
            <w:hideMark/>
          </w:tcPr>
          <w:p w:rsidR="00890966" w:rsidRPr="00D55522" w:rsidRDefault="00890966" w:rsidP="00D55522">
            <w:pPr>
              <w:spacing w:after="0" w:line="240" w:lineRule="auto"/>
              <w:jc w:val="center"/>
              <w:rPr>
                <w:rFonts w:eastAsia="Times New Roman" w:cs="Arial"/>
                <w:b/>
                <w:bCs/>
                <w:color w:val="000000"/>
                <w:lang w:val="en-US"/>
              </w:rPr>
            </w:pPr>
            <w:r w:rsidRPr="00D55522">
              <w:rPr>
                <w:b/>
                <w:bCs/>
                <w:color w:val="000000"/>
              </w:rPr>
              <w:t>Fluorescence</w:t>
            </w:r>
            <w:r w:rsidRPr="00D55522">
              <w:rPr>
                <w:rFonts w:eastAsia="Times New Roman" w:cs="Arial"/>
                <w:b/>
                <w:bCs/>
                <w:color w:val="000000"/>
                <w:lang w:val="en-US"/>
              </w:rPr>
              <w:t xml:space="preserve"> Value</w:t>
            </w:r>
          </w:p>
        </w:tc>
        <w:tc>
          <w:tcPr>
            <w:tcW w:w="2977" w:type="dxa"/>
            <w:shd w:val="clear" w:color="auto" w:fill="auto"/>
            <w:noWrap/>
            <w:vAlign w:val="center"/>
            <w:hideMark/>
          </w:tcPr>
          <w:p w:rsidR="00890966" w:rsidRPr="00D55522" w:rsidRDefault="00890966" w:rsidP="00D55522">
            <w:pPr>
              <w:spacing w:after="0" w:line="240" w:lineRule="auto"/>
              <w:jc w:val="center"/>
              <w:rPr>
                <w:rFonts w:eastAsia="Times New Roman" w:cs="Times New Roman"/>
                <w:b/>
                <w:bCs/>
                <w:color w:val="000000"/>
                <w:lang w:val="en-US"/>
              </w:rPr>
            </w:pPr>
            <w:r w:rsidRPr="00D55522">
              <w:rPr>
                <w:rFonts w:eastAsia="Times New Roman" w:cs="Times New Roman"/>
                <w:b/>
                <w:bCs/>
                <w:color w:val="000000"/>
                <w:lang w:val="en-US"/>
              </w:rPr>
              <w:t xml:space="preserve">Calculated </w:t>
            </w:r>
            <w:r w:rsidR="00A0784B">
              <w:rPr>
                <w:rFonts w:eastAsia="Times New Roman" w:cs="Times New Roman"/>
                <w:b/>
                <w:bCs/>
                <w:color w:val="000000"/>
                <w:lang w:val="en-US"/>
              </w:rPr>
              <w:t>Concentration of Dilution (mg/</w:t>
            </w:r>
            <w:proofErr w:type="spellStart"/>
            <w:r w:rsidR="00A0784B">
              <w:rPr>
                <w:rFonts w:eastAsia="Times New Roman" w:cs="Times New Roman"/>
                <w:b/>
                <w:bCs/>
                <w:color w:val="000000"/>
                <w:lang w:val="en-US"/>
              </w:rPr>
              <w:t>mL</w:t>
            </w:r>
            <w:proofErr w:type="spellEnd"/>
            <w:r w:rsidRPr="00D55522">
              <w:rPr>
                <w:rFonts w:eastAsia="Times New Roman" w:cs="Times New Roman"/>
                <w:b/>
                <w:bCs/>
                <w:color w:val="000000"/>
                <w:lang w:val="en-US"/>
              </w:rPr>
              <w:t>)</w:t>
            </w:r>
          </w:p>
        </w:tc>
        <w:tc>
          <w:tcPr>
            <w:tcW w:w="2693" w:type="dxa"/>
            <w:shd w:val="clear" w:color="auto" w:fill="auto"/>
            <w:noWrap/>
            <w:vAlign w:val="center"/>
            <w:hideMark/>
          </w:tcPr>
          <w:p w:rsidR="00890966" w:rsidRPr="00D55522" w:rsidRDefault="00A0784B" w:rsidP="00D55522">
            <w:pPr>
              <w:spacing w:after="0" w:line="240" w:lineRule="auto"/>
              <w:jc w:val="center"/>
              <w:rPr>
                <w:rFonts w:eastAsia="Times New Roman" w:cs="Times New Roman"/>
                <w:b/>
                <w:bCs/>
                <w:color w:val="000000"/>
                <w:lang w:val="en-US"/>
              </w:rPr>
            </w:pPr>
            <w:r>
              <w:rPr>
                <w:rFonts w:eastAsia="Times New Roman" w:cs="Times New Roman"/>
                <w:b/>
                <w:bCs/>
                <w:color w:val="000000"/>
                <w:lang w:val="en-US"/>
              </w:rPr>
              <w:t>Calibrated Concentration (mg/</w:t>
            </w:r>
            <w:proofErr w:type="spellStart"/>
            <w:r>
              <w:rPr>
                <w:rFonts w:eastAsia="Times New Roman" w:cs="Times New Roman"/>
                <w:b/>
                <w:bCs/>
                <w:color w:val="000000"/>
                <w:lang w:val="en-US"/>
              </w:rPr>
              <w:t>mL</w:t>
            </w:r>
            <w:proofErr w:type="spellEnd"/>
            <w:r w:rsidR="00890966" w:rsidRPr="00D55522">
              <w:rPr>
                <w:rFonts w:eastAsia="Times New Roman" w:cs="Times New Roman"/>
                <w:b/>
                <w:bCs/>
                <w:color w:val="000000"/>
                <w:lang w:val="en-US"/>
              </w:rPr>
              <w:t>)</w:t>
            </w:r>
          </w:p>
        </w:tc>
      </w:tr>
      <w:tr w:rsidR="00D55522" w:rsidRPr="00CE1F35" w:rsidTr="00BA745D">
        <w:trPr>
          <w:trHeight w:val="315"/>
          <w:jc w:val="center"/>
        </w:trPr>
        <w:tc>
          <w:tcPr>
            <w:tcW w:w="2268" w:type="dxa"/>
            <w:shd w:val="clear" w:color="auto" w:fill="auto"/>
            <w:vAlign w:val="bottom"/>
            <w:hideMark/>
          </w:tcPr>
          <w:p w:rsidR="00890966" w:rsidRPr="00CE1F35" w:rsidRDefault="00890966" w:rsidP="00912E9F">
            <w:pPr>
              <w:spacing w:after="0" w:line="240" w:lineRule="auto"/>
              <w:jc w:val="center"/>
              <w:rPr>
                <w:rFonts w:eastAsia="Times New Roman" w:cs="Arial"/>
                <w:color w:val="000000"/>
                <w:lang w:val="en-US"/>
              </w:rPr>
            </w:pPr>
            <w:r w:rsidRPr="00CE1F35">
              <w:rPr>
                <w:rFonts w:eastAsia="Times New Roman" w:cs="Arial"/>
                <w:color w:val="000000"/>
                <w:lang w:val="en-US"/>
              </w:rPr>
              <w:t>160</w:t>
            </w:r>
          </w:p>
        </w:tc>
        <w:tc>
          <w:tcPr>
            <w:tcW w:w="2977"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0.00134</w:t>
            </w:r>
          </w:p>
        </w:tc>
        <w:tc>
          <w:tcPr>
            <w:tcW w:w="2693"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0.13395</w:t>
            </w:r>
          </w:p>
        </w:tc>
      </w:tr>
      <w:tr w:rsidR="00D55522" w:rsidRPr="00CE1F35" w:rsidTr="00BA745D">
        <w:trPr>
          <w:trHeight w:val="315"/>
          <w:jc w:val="center"/>
        </w:trPr>
        <w:tc>
          <w:tcPr>
            <w:tcW w:w="2268" w:type="dxa"/>
            <w:shd w:val="clear" w:color="auto" w:fill="auto"/>
            <w:vAlign w:val="bottom"/>
            <w:hideMark/>
          </w:tcPr>
          <w:p w:rsidR="00890966" w:rsidRPr="00CE1F35" w:rsidRDefault="00890966" w:rsidP="00912E9F">
            <w:pPr>
              <w:spacing w:after="0" w:line="240" w:lineRule="auto"/>
              <w:jc w:val="center"/>
              <w:rPr>
                <w:rFonts w:eastAsia="Times New Roman" w:cs="Arial"/>
                <w:color w:val="000000"/>
                <w:lang w:val="en-US"/>
              </w:rPr>
            </w:pPr>
            <w:r w:rsidRPr="00CE1F35">
              <w:rPr>
                <w:rFonts w:eastAsia="Times New Roman" w:cs="Arial"/>
                <w:color w:val="000000"/>
                <w:lang w:val="en-US"/>
              </w:rPr>
              <w:t>172</w:t>
            </w:r>
          </w:p>
        </w:tc>
        <w:tc>
          <w:tcPr>
            <w:tcW w:w="2977"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0.00144</w:t>
            </w:r>
          </w:p>
        </w:tc>
        <w:tc>
          <w:tcPr>
            <w:tcW w:w="2693"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0.14399</w:t>
            </w:r>
          </w:p>
        </w:tc>
      </w:tr>
      <w:tr w:rsidR="00D55522" w:rsidRPr="00CE1F35" w:rsidTr="00BA745D">
        <w:trPr>
          <w:trHeight w:val="315"/>
          <w:jc w:val="center"/>
        </w:trPr>
        <w:tc>
          <w:tcPr>
            <w:tcW w:w="2268" w:type="dxa"/>
            <w:shd w:val="clear" w:color="auto" w:fill="auto"/>
            <w:vAlign w:val="bottom"/>
            <w:hideMark/>
          </w:tcPr>
          <w:p w:rsidR="00890966" w:rsidRPr="00CE1F35" w:rsidRDefault="00890966" w:rsidP="00912E9F">
            <w:pPr>
              <w:spacing w:after="0" w:line="240" w:lineRule="auto"/>
              <w:jc w:val="center"/>
              <w:rPr>
                <w:rFonts w:eastAsia="Times New Roman" w:cs="Arial"/>
                <w:color w:val="000000"/>
                <w:lang w:val="en-US"/>
              </w:rPr>
            </w:pPr>
            <w:r w:rsidRPr="00CE1F35">
              <w:rPr>
                <w:rFonts w:eastAsia="Times New Roman" w:cs="Arial"/>
                <w:color w:val="000000"/>
                <w:lang w:val="en-US"/>
              </w:rPr>
              <w:t>1276</w:t>
            </w:r>
          </w:p>
        </w:tc>
        <w:tc>
          <w:tcPr>
            <w:tcW w:w="2977"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0.01068</w:t>
            </w:r>
          </w:p>
        </w:tc>
        <w:tc>
          <w:tcPr>
            <w:tcW w:w="2693"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0.10682</w:t>
            </w:r>
          </w:p>
        </w:tc>
      </w:tr>
      <w:tr w:rsidR="00D55522" w:rsidRPr="00CE1F35" w:rsidTr="00BA745D">
        <w:trPr>
          <w:trHeight w:val="315"/>
          <w:jc w:val="center"/>
        </w:trPr>
        <w:tc>
          <w:tcPr>
            <w:tcW w:w="2268" w:type="dxa"/>
            <w:shd w:val="clear" w:color="auto" w:fill="auto"/>
            <w:vAlign w:val="bottom"/>
            <w:hideMark/>
          </w:tcPr>
          <w:p w:rsidR="00890966" w:rsidRPr="00CE1F35" w:rsidRDefault="00890966" w:rsidP="00912E9F">
            <w:pPr>
              <w:spacing w:after="0" w:line="240" w:lineRule="auto"/>
              <w:jc w:val="center"/>
              <w:rPr>
                <w:rFonts w:eastAsia="Times New Roman" w:cs="Arial"/>
                <w:color w:val="000000"/>
                <w:lang w:val="en-US"/>
              </w:rPr>
            </w:pPr>
            <w:r w:rsidRPr="00CE1F35">
              <w:rPr>
                <w:rFonts w:eastAsia="Times New Roman" w:cs="Arial"/>
                <w:color w:val="000000"/>
                <w:lang w:val="en-US"/>
              </w:rPr>
              <w:t>1690</w:t>
            </w:r>
          </w:p>
        </w:tc>
        <w:tc>
          <w:tcPr>
            <w:tcW w:w="2977"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0.01415</w:t>
            </w:r>
          </w:p>
        </w:tc>
        <w:tc>
          <w:tcPr>
            <w:tcW w:w="2693" w:type="dxa"/>
            <w:shd w:val="clear" w:color="auto" w:fill="auto"/>
            <w:noWrap/>
            <w:vAlign w:val="bottom"/>
            <w:hideMark/>
          </w:tcPr>
          <w:p w:rsidR="00890966" w:rsidRPr="00CE1F35" w:rsidRDefault="00890966" w:rsidP="00BA745D">
            <w:pPr>
              <w:spacing w:after="0" w:line="240" w:lineRule="auto"/>
              <w:jc w:val="center"/>
              <w:rPr>
                <w:rFonts w:eastAsia="Times New Roman" w:cs="Times New Roman"/>
                <w:color w:val="000000"/>
                <w:lang w:val="en-US"/>
              </w:rPr>
            </w:pPr>
            <w:r w:rsidRPr="00CE1F35">
              <w:rPr>
                <w:rFonts w:eastAsia="Times New Roman" w:cs="Times New Roman"/>
                <w:color w:val="000000"/>
                <w:lang w:val="en-US"/>
              </w:rPr>
              <w:t>0.14148</w:t>
            </w:r>
          </w:p>
        </w:tc>
      </w:tr>
    </w:tbl>
    <w:p w:rsidR="00890966" w:rsidRDefault="00D55522" w:rsidP="00A0784B">
      <w:pPr>
        <w:rPr>
          <w:rFonts w:eastAsia="Times New Roman" w:cs="Times New Roman"/>
          <w:color w:val="000000"/>
          <w:lang w:val="en-US"/>
        </w:rPr>
      </w:pPr>
      <w:r>
        <w:rPr>
          <w:color w:val="000000"/>
        </w:rPr>
        <w:br/>
      </w:r>
      <w:r w:rsidR="00A0784B">
        <w:rPr>
          <w:color w:val="000000"/>
        </w:rPr>
        <w:t xml:space="preserve">The average of the </w:t>
      </w:r>
      <w:r w:rsidR="00B220A3">
        <w:rPr>
          <w:color w:val="000000"/>
        </w:rPr>
        <w:t xml:space="preserve">four </w:t>
      </w:r>
      <w:r w:rsidR="00A0784B">
        <w:rPr>
          <w:color w:val="000000"/>
        </w:rPr>
        <w:t xml:space="preserve">calibrated concentrations is 0.13156. </w:t>
      </w:r>
      <w:r w:rsidR="00BA745D">
        <w:rPr>
          <w:color w:val="000000"/>
        </w:rPr>
        <w:t>Using the fact that the original doxorubicin concentration used was 0.225 mg/</w:t>
      </w:r>
      <w:proofErr w:type="spellStart"/>
      <w:r w:rsidR="00BA745D">
        <w:rPr>
          <w:color w:val="000000"/>
        </w:rPr>
        <w:t>mL</w:t>
      </w:r>
      <w:proofErr w:type="spellEnd"/>
      <w:r w:rsidR="00BA745D">
        <w:rPr>
          <w:color w:val="000000"/>
        </w:rPr>
        <w:t>, we can now calculate the encapsulation efficiency as follows</w:t>
      </w:r>
      <w:r w:rsidR="00A0784B">
        <w:rPr>
          <w:color w:val="000000"/>
        </w:rPr>
        <w:t xml:space="preserve"> by dividing the two numbers as shown below:</w:t>
      </w:r>
    </w:p>
    <w:p w:rsidR="00890966" w:rsidRDefault="00890966" w:rsidP="00BA745D">
      <w:pPr>
        <w:jc w:val="center"/>
        <w:rPr>
          <w:rFonts w:eastAsia="Times New Roman" w:cs="Times New Roman"/>
          <w:color w:val="000000"/>
          <w:lang w:val="en-US"/>
        </w:rPr>
      </w:pPr>
      <m:oMath>
        <m:r>
          <w:rPr>
            <w:rFonts w:ascii="Cambria Math" w:hAnsi="Cambria Math"/>
          </w:rPr>
          <w:lastRenderedPageBreak/>
          <m:t xml:space="preserve">E.E= </m:t>
        </m:r>
        <m:f>
          <m:fPr>
            <m:ctrlPr>
              <w:rPr>
                <w:rFonts w:ascii="Cambria Math" w:hAnsi="Cambria Math"/>
                <w:i/>
              </w:rPr>
            </m:ctrlPr>
          </m:fPr>
          <m:num>
            <m:r>
              <w:rPr>
                <w:rFonts w:ascii="Cambria Math" w:hAnsi="Cambria Math"/>
              </w:rPr>
              <m:t>0.1316 mg/mL</m:t>
            </m:r>
          </m:num>
          <m:den>
            <m:r>
              <w:rPr>
                <w:rFonts w:ascii="Cambria Math" w:hAnsi="Cambria Math"/>
              </w:rPr>
              <m:t>0.225 mg/mL</m:t>
            </m:r>
          </m:den>
        </m:f>
        <m:r>
          <w:rPr>
            <w:rFonts w:ascii="Cambria Math" w:hAnsi="Cambria Math"/>
          </w:rPr>
          <m:t>=</m:t>
        </m:r>
        <m:r>
          <m:rPr>
            <m:sty m:val="p"/>
          </m:rPr>
          <w:rPr>
            <w:rFonts w:ascii="Cambria Math" w:eastAsia="Times New Roman" w:hAnsi="Cambria Math" w:cs="Times New Roman"/>
          </w:rPr>
          <m:t>0.585 =58.5%</m:t>
        </m:r>
      </m:oMath>
      <w:r>
        <w:rPr>
          <w:rFonts w:eastAsia="Times New Roman" w:cs="Times New Roman"/>
        </w:rPr>
        <w:t xml:space="preserve"> </w:t>
      </w:r>
    </w:p>
    <w:p w:rsidR="00890966" w:rsidRPr="00BC1218" w:rsidRDefault="00BC1218" w:rsidP="00DD1F68">
      <w:pPr>
        <w:rPr>
          <w:rFonts w:eastAsia="Times New Roman" w:cs="Times New Roman"/>
          <w:b/>
          <w:i/>
          <w:iCs/>
          <w:color w:val="000000"/>
          <w:lang w:val="en-US"/>
        </w:rPr>
      </w:pPr>
      <w:r w:rsidRPr="00BC1218">
        <w:rPr>
          <w:rFonts w:eastAsia="Times New Roman" w:cs="Times New Roman"/>
          <w:b/>
          <w:i/>
          <w:iCs/>
          <w:color w:val="000000"/>
          <w:lang w:val="en-US"/>
        </w:rPr>
        <w:t xml:space="preserve">Literature </w:t>
      </w:r>
      <w:r w:rsidR="00DD1F68">
        <w:rPr>
          <w:rFonts w:eastAsia="Times New Roman" w:cs="Times New Roman"/>
          <w:b/>
          <w:i/>
          <w:iCs/>
          <w:color w:val="000000"/>
          <w:lang w:val="en-US"/>
        </w:rPr>
        <w:t>Values and Comparison</w:t>
      </w:r>
    </w:p>
    <w:p w:rsidR="00BC1218" w:rsidRDefault="00BC1218" w:rsidP="00BC1218">
      <w:pPr>
        <w:rPr>
          <w:rFonts w:eastAsia="Times New Roman" w:cs="Times New Roman"/>
          <w:color w:val="000000"/>
          <w:szCs w:val="24"/>
          <w:lang w:val="en-US"/>
        </w:rPr>
      </w:pPr>
      <w:r>
        <w:rPr>
          <w:rFonts w:eastAsia="Times New Roman" w:cs="Times New Roman"/>
          <w:color w:val="000000"/>
          <w:szCs w:val="24"/>
          <w:lang w:val="en-US"/>
        </w:rPr>
        <w:t xml:space="preserve">The literature values found in the pre-lab for encapsulation efficiencies using </w:t>
      </w:r>
      <w:proofErr w:type="spellStart"/>
      <w:r>
        <w:rPr>
          <w:rFonts w:eastAsia="Times New Roman" w:cs="Times New Roman"/>
          <w:color w:val="000000"/>
          <w:szCs w:val="24"/>
          <w:lang w:val="en-US"/>
        </w:rPr>
        <w:t>nanoprecipitation</w:t>
      </w:r>
      <w:proofErr w:type="spellEnd"/>
      <w:r>
        <w:rPr>
          <w:rFonts w:eastAsia="Times New Roman" w:cs="Times New Roman"/>
          <w:color w:val="000000"/>
          <w:szCs w:val="24"/>
          <w:lang w:val="en-US"/>
        </w:rPr>
        <w:t xml:space="preserve"> and double emulsion techniques were 17%-23% and 67% respectively. The encapsulation efficiencies we obtained in the lab were 12.6% and 58.5% respectively. Thus, the encapsulation efficiencies we obtained are about 10% lower than that obtained in the literature.</w:t>
      </w:r>
    </w:p>
    <w:p w:rsidR="00BC1218" w:rsidRPr="00BC1218" w:rsidRDefault="00DD1F68" w:rsidP="00BC1218">
      <w:pPr>
        <w:rPr>
          <w:rFonts w:eastAsia="Times New Roman" w:cs="Times New Roman"/>
          <w:b/>
          <w:i/>
          <w:iCs/>
          <w:color w:val="000000"/>
          <w:lang w:val="en-US"/>
        </w:rPr>
      </w:pPr>
      <w:r>
        <w:rPr>
          <w:rFonts w:eastAsia="Times New Roman" w:cs="Times New Roman"/>
          <w:b/>
          <w:i/>
          <w:iCs/>
          <w:color w:val="000000"/>
          <w:lang w:val="en-US"/>
        </w:rPr>
        <w:t>Ways to</w:t>
      </w:r>
      <w:r w:rsidR="00BC1218">
        <w:rPr>
          <w:rFonts w:eastAsia="Times New Roman" w:cs="Times New Roman"/>
          <w:b/>
          <w:i/>
          <w:iCs/>
          <w:color w:val="000000"/>
          <w:lang w:val="en-US"/>
        </w:rPr>
        <w:t xml:space="preserve"> Improve Encapsulation Efficiency</w:t>
      </w:r>
    </w:p>
    <w:p w:rsidR="00062E35" w:rsidRDefault="00062E35" w:rsidP="00062E35">
      <w:pPr>
        <w:pStyle w:val="NoSpacing"/>
        <w:spacing w:line="276" w:lineRule="auto"/>
        <w:rPr>
          <w:rFonts w:eastAsia="Times New Roman"/>
          <w:sz w:val="24"/>
          <w:szCs w:val="24"/>
          <w:lang w:val="en-US"/>
        </w:rPr>
      </w:pPr>
      <w:r>
        <w:rPr>
          <w:rFonts w:eastAsia="Times New Roman"/>
          <w:sz w:val="24"/>
          <w:szCs w:val="24"/>
          <w:lang w:val="en-US"/>
        </w:rPr>
        <w:t xml:space="preserve">Encapsulation efficiency can be improved by making few errors in procedure and by using more precise equipment. We had a leaky </w:t>
      </w:r>
      <w:proofErr w:type="spellStart"/>
      <w:r>
        <w:rPr>
          <w:rFonts w:eastAsia="Times New Roman"/>
          <w:sz w:val="24"/>
          <w:szCs w:val="24"/>
          <w:lang w:val="en-US"/>
        </w:rPr>
        <w:t>microplate</w:t>
      </w:r>
      <w:proofErr w:type="spellEnd"/>
      <w:r>
        <w:rPr>
          <w:rFonts w:eastAsia="Times New Roman"/>
          <w:sz w:val="24"/>
          <w:szCs w:val="24"/>
          <w:lang w:val="en-US"/>
        </w:rPr>
        <w:t xml:space="preserve"> which resulted in significant contamination and reduced efficiencies. So using unbroken equipment might yield better results. Another way of improving encapsulation efficiency </w:t>
      </w:r>
      <w:r w:rsidR="008A3A6E">
        <w:rPr>
          <w:rFonts w:eastAsia="Times New Roman"/>
          <w:sz w:val="24"/>
          <w:szCs w:val="24"/>
          <w:lang w:val="en-US"/>
        </w:rPr>
        <w:t>is to use a better solvent. What constitutes as a better solvent? A solvent in which the polymer is less soluble in would constitute as a better solvent. A polymer is likely to have much improved encapsulation if it is not as soluble in the solvent.</w:t>
      </w:r>
    </w:p>
    <w:p w:rsidR="00890966" w:rsidRPr="005F1501" w:rsidRDefault="00890966" w:rsidP="00890966">
      <w:pPr>
        <w:pStyle w:val="NoSpacing"/>
      </w:pPr>
      <w:r w:rsidRPr="00A901A7">
        <w:rPr>
          <w:rFonts w:eastAsia="Times New Roman"/>
          <w:lang w:val="en-US"/>
        </w:rPr>
        <w:t xml:space="preserve"> </w:t>
      </w:r>
    </w:p>
    <w:p w:rsidR="00890966" w:rsidRPr="00A901A7" w:rsidRDefault="00890966" w:rsidP="00890966">
      <w:pPr>
        <w:rPr>
          <w:b/>
          <w:sz w:val="28"/>
          <w:szCs w:val="28"/>
        </w:rPr>
      </w:pPr>
      <w:r w:rsidRPr="00A901A7">
        <w:rPr>
          <w:b/>
          <w:sz w:val="28"/>
          <w:szCs w:val="28"/>
        </w:rPr>
        <w:t>Question 2</w:t>
      </w:r>
    </w:p>
    <w:p w:rsidR="008959E3" w:rsidRPr="008959E3" w:rsidRDefault="008959E3" w:rsidP="008959E3">
      <w:pPr>
        <w:pStyle w:val="Default"/>
        <w:rPr>
          <w:rFonts w:asciiTheme="minorHAnsi" w:eastAsiaTheme="minorHAnsi" w:hAnsiTheme="minorHAnsi" w:cstheme="minorBidi"/>
          <w:i/>
          <w:iCs/>
          <w:color w:val="auto"/>
          <w:szCs w:val="22"/>
          <w:lang w:val="en-CA" w:eastAsia="ko-KR"/>
        </w:rPr>
      </w:pPr>
      <w:r w:rsidRPr="008959E3">
        <w:rPr>
          <w:rFonts w:asciiTheme="minorHAnsi" w:eastAsiaTheme="minorHAnsi" w:hAnsiTheme="minorHAnsi" w:cstheme="minorBidi"/>
          <w:i/>
          <w:iCs/>
          <w:color w:val="auto"/>
          <w:szCs w:val="22"/>
          <w:lang w:val="en-CA" w:eastAsia="ko-KR"/>
        </w:rPr>
        <w:t>Explain the phenomenon of decreasing fluorescence intensity present in the higher concentrations (0.1, 0.25, 0.5 mg/</w:t>
      </w:r>
      <w:proofErr w:type="spellStart"/>
      <w:r w:rsidRPr="008959E3">
        <w:rPr>
          <w:rFonts w:asciiTheme="minorHAnsi" w:eastAsiaTheme="minorHAnsi" w:hAnsiTheme="minorHAnsi" w:cstheme="minorBidi"/>
          <w:i/>
          <w:iCs/>
          <w:color w:val="auto"/>
          <w:szCs w:val="22"/>
          <w:lang w:val="en-CA" w:eastAsia="ko-KR"/>
        </w:rPr>
        <w:t>mL</w:t>
      </w:r>
      <w:proofErr w:type="spellEnd"/>
      <w:r w:rsidRPr="008959E3">
        <w:rPr>
          <w:rFonts w:asciiTheme="minorHAnsi" w:eastAsiaTheme="minorHAnsi" w:hAnsiTheme="minorHAnsi" w:cstheme="minorBidi"/>
          <w:i/>
          <w:iCs/>
          <w:color w:val="auto"/>
          <w:szCs w:val="22"/>
          <w:lang w:val="en-CA" w:eastAsia="ko-KR"/>
        </w:rPr>
        <w:t xml:space="preserve">) of doxorubicin standards. </w:t>
      </w:r>
    </w:p>
    <w:p w:rsidR="00AA3FA0" w:rsidRDefault="00413A59" w:rsidP="00AA3FA0">
      <w:r>
        <w:br/>
      </w:r>
      <w:r w:rsidR="00AA3FA0">
        <w:t>Higher concentration implies more particles in the same volume of liquid. This increased number of particles can absorb and scatter light produced from Raman and Rayleigh scattering more, thus resulting in reduced light intensity in florescence spectroscopy at higher concentrations of doxorubicin standards. Absorption of emitted florescent photons by other molecules in solution is also a contributing factor. At higher concentrations, more absorption can happen resulting in fewer photons actually making it to the detector and decreased fluorescent intensity.</w:t>
      </w:r>
    </w:p>
    <w:p w:rsidR="00890966" w:rsidRDefault="00890966" w:rsidP="00890966">
      <w:pPr>
        <w:rPr>
          <w:b/>
          <w:sz w:val="28"/>
          <w:szCs w:val="28"/>
        </w:rPr>
      </w:pPr>
      <w:r>
        <w:rPr>
          <w:b/>
          <w:sz w:val="28"/>
          <w:szCs w:val="28"/>
        </w:rPr>
        <w:t>Question 3</w:t>
      </w:r>
    </w:p>
    <w:p w:rsidR="008959E3" w:rsidRDefault="008959E3" w:rsidP="008959E3">
      <w:pPr>
        <w:pStyle w:val="Default"/>
        <w:rPr>
          <w:rFonts w:asciiTheme="minorHAnsi" w:eastAsiaTheme="minorHAnsi" w:hAnsiTheme="minorHAnsi" w:cstheme="minorBidi"/>
          <w:i/>
          <w:iCs/>
          <w:color w:val="auto"/>
          <w:szCs w:val="22"/>
          <w:lang w:val="en-CA" w:eastAsia="ko-KR"/>
        </w:rPr>
      </w:pPr>
      <w:r w:rsidRPr="00413A59">
        <w:rPr>
          <w:rFonts w:asciiTheme="minorHAnsi" w:eastAsiaTheme="minorHAnsi" w:hAnsiTheme="minorHAnsi" w:cstheme="minorBidi"/>
          <w:i/>
          <w:iCs/>
          <w:color w:val="auto"/>
          <w:szCs w:val="22"/>
          <w:lang w:val="en-CA" w:eastAsia="ko-KR"/>
        </w:rPr>
        <w:t xml:space="preserve">In general, fluorescence spectroscopy is more sensitive than absorbance spectroscopy. </w:t>
      </w:r>
      <w:r w:rsidR="00AA3FA0">
        <w:rPr>
          <w:rFonts w:asciiTheme="minorHAnsi" w:eastAsiaTheme="minorHAnsi" w:hAnsiTheme="minorHAnsi" w:cstheme="minorBidi"/>
          <w:i/>
          <w:iCs/>
          <w:color w:val="auto"/>
          <w:szCs w:val="22"/>
          <w:lang w:val="en-CA" w:eastAsia="ko-KR"/>
        </w:rPr>
        <w:t>Why? Include an energy diagram.</w:t>
      </w:r>
    </w:p>
    <w:p w:rsidR="00AA3FA0" w:rsidRPr="00413A59" w:rsidRDefault="00AA3FA0" w:rsidP="008959E3">
      <w:pPr>
        <w:pStyle w:val="Default"/>
        <w:rPr>
          <w:rFonts w:asciiTheme="minorHAnsi" w:eastAsiaTheme="minorHAnsi" w:hAnsiTheme="minorHAnsi" w:cstheme="minorBidi"/>
          <w:i/>
          <w:iCs/>
          <w:color w:val="auto"/>
          <w:szCs w:val="22"/>
          <w:lang w:val="en-CA" w:eastAsia="ko-KR"/>
        </w:rPr>
      </w:pPr>
    </w:p>
    <w:p w:rsidR="00FF4153" w:rsidRDefault="00FF4153" w:rsidP="00FF4153">
      <w:r>
        <w:t>In absorbance spectroscopy, white light from the visible spectrum is shined through the sample, and the spectrum is obtained by detecting whatever light makes it through the sample, i.e. isn’t absorbed by the sample. This technique is usually performed on simple molecules.</w:t>
      </w:r>
    </w:p>
    <w:p w:rsidR="00FF4153" w:rsidRDefault="00FF4153" w:rsidP="0067158E">
      <w:r>
        <w:lastRenderedPageBreak/>
        <w:t>In f</w:t>
      </w:r>
      <w:r w:rsidR="00890966">
        <w:t>luorescence spectroscopy</w:t>
      </w:r>
      <w:r>
        <w:t xml:space="preserve">, on the other hand, UV light is shined through the sample. Some of this UV light is absorbed by the molecules and compounds in the sample </w:t>
      </w:r>
      <w:r w:rsidR="0067158E">
        <w:t>putting them at a “virtual” state. These molecules then relax to the ground state by re-emitting the absorbed UV photons</w:t>
      </w:r>
      <w:r>
        <w:t xml:space="preserve"> as lower energy photons in the visible light spectrum. The fluorescence spectrum is therefore obtained by detecting </w:t>
      </w:r>
      <w:r w:rsidR="0067158E">
        <w:t>these</w:t>
      </w:r>
      <w:r>
        <w:t xml:space="preserve"> lower-energy re-emitted photons.</w:t>
      </w:r>
      <w:r w:rsidR="0067158E">
        <w:t xml:space="preserve"> It is therefore more sensitive than absorbance spectrum.</w:t>
      </w:r>
    </w:p>
    <w:p w:rsidR="00E26280" w:rsidRDefault="0067158E" w:rsidP="00E26280">
      <w:r>
        <w:t>T</w:t>
      </w:r>
      <w:r w:rsidR="00E26280">
        <w:t>he energy diagram for the energy interactions undergone by the sample molecules d</w:t>
      </w:r>
      <w:r>
        <w:t>uring fluorescence spectroscopy is shown below:</w:t>
      </w:r>
    </w:p>
    <w:p w:rsidR="00E95F2E" w:rsidRPr="009E77F6" w:rsidRDefault="00890966" w:rsidP="00890966">
      <w:pPr>
        <w:jc w:val="center"/>
        <w:rPr>
          <w:b/>
          <w:bCs/>
          <w:sz w:val="28"/>
          <w:szCs w:val="28"/>
        </w:rPr>
      </w:pPr>
      <w:r>
        <w:rPr>
          <w:b/>
          <w:bCs/>
          <w:noProof/>
          <w:sz w:val="28"/>
          <w:szCs w:val="28"/>
          <w:lang w:eastAsia="en-CA"/>
        </w:rPr>
        <w:drawing>
          <wp:inline distT="0" distB="0" distL="0" distR="0">
            <wp:extent cx="2038350" cy="2933395"/>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039621" cy="2935224"/>
                    </a:xfrm>
                    <a:prstGeom prst="rect">
                      <a:avLst/>
                    </a:prstGeom>
                    <a:noFill/>
                    <a:ln w="9525">
                      <a:noFill/>
                      <a:miter lim="800000"/>
                      <a:headEnd/>
                      <a:tailEnd/>
                    </a:ln>
                  </pic:spPr>
                </pic:pic>
              </a:graphicData>
            </a:graphic>
          </wp:inline>
        </w:drawing>
      </w:r>
    </w:p>
    <w:p w:rsidR="00890966" w:rsidRDefault="00E95F2E" w:rsidP="00E95F2E">
      <w:pPr>
        <w:pStyle w:val="Heading3"/>
        <w:rPr>
          <w:lang w:eastAsia="en-US"/>
        </w:rPr>
      </w:pPr>
      <w:r>
        <w:rPr>
          <w:lang w:eastAsia="en-US"/>
        </w:rPr>
        <w:t>Summary and Conclusions</w:t>
      </w:r>
    </w:p>
    <w:p w:rsidR="008B1931" w:rsidRDefault="008B1931" w:rsidP="008B1931">
      <w:r>
        <w:t xml:space="preserve">Due to the presence of a damaged </w:t>
      </w:r>
      <w:proofErr w:type="spellStart"/>
      <w:r>
        <w:t>microplate</w:t>
      </w:r>
      <w:proofErr w:type="spellEnd"/>
      <w:r>
        <w:t xml:space="preserve"> that leaked, a lot of our results were thrown off significantly due to the resulting contamination and changes in concentrations.</w:t>
      </w:r>
      <w:r w:rsidR="005A36EB">
        <w:t xml:space="preserve"> Contamination was observed when several cells in our </w:t>
      </w:r>
      <w:proofErr w:type="spellStart"/>
      <w:r w:rsidR="005A36EB">
        <w:t>microplate</w:t>
      </w:r>
      <w:proofErr w:type="spellEnd"/>
      <w:r w:rsidR="005A36EB">
        <w:t xml:space="preserve"> turned bluish in colour.</w:t>
      </w:r>
      <w:r>
        <w:t xml:space="preserve"> We attribute all our discrepancies in results to this broken </w:t>
      </w:r>
      <w:proofErr w:type="spellStart"/>
      <w:r>
        <w:t>microplate</w:t>
      </w:r>
      <w:proofErr w:type="spellEnd"/>
      <w:r>
        <w:t xml:space="preserve">. To obtain realistic results, we would need to repeat the experiment with a proper, new, and clean </w:t>
      </w:r>
      <w:proofErr w:type="spellStart"/>
      <w:r>
        <w:t>microplate</w:t>
      </w:r>
      <w:proofErr w:type="spellEnd"/>
      <w:r>
        <w:t>.</w:t>
      </w:r>
    </w:p>
    <w:p w:rsidR="006F6785" w:rsidRPr="005A36EB" w:rsidRDefault="008B1931" w:rsidP="005A36EB">
      <w:r>
        <w:t xml:space="preserve">Nonetheless, </w:t>
      </w:r>
      <w:r w:rsidR="005A36EB">
        <w:t>we were able to use the remaining data to obtain values for encapsulation efficiencies of our two drugs by fitting them to the theoretical model. T</w:t>
      </w:r>
      <w:r>
        <w:t xml:space="preserve">he values we obtained for the encapsulation efficiencies of </w:t>
      </w:r>
      <w:proofErr w:type="spellStart"/>
      <w:r>
        <w:t>docetaxel</w:t>
      </w:r>
      <w:proofErr w:type="spellEnd"/>
      <w:r>
        <w:t xml:space="preserve"> and doxorubicin were reasonable enough and fairly close to literature values.</w:t>
      </w:r>
      <w:r w:rsidR="006F6785">
        <w:rPr>
          <w:lang w:eastAsia="en-US"/>
        </w:rPr>
        <w:br w:type="page"/>
      </w:r>
    </w:p>
    <w:p w:rsidR="006F6785" w:rsidRDefault="006F6785" w:rsidP="00DD6A9D">
      <w:pPr>
        <w:pStyle w:val="Heading1"/>
        <w:pBdr>
          <w:bottom w:val="single" w:sz="6" w:space="1" w:color="auto"/>
        </w:pBdr>
        <w:ind w:right="-138"/>
        <w:rPr>
          <w:color w:val="auto"/>
        </w:rPr>
      </w:pPr>
      <w:r>
        <w:rPr>
          <w:color w:val="auto"/>
        </w:rPr>
        <w:lastRenderedPageBreak/>
        <w:t>Lab 3</w:t>
      </w:r>
      <w:r w:rsidRPr="000C58D7">
        <w:rPr>
          <w:color w:val="auto"/>
        </w:rPr>
        <w:t xml:space="preserve"> </w:t>
      </w:r>
      <w:r w:rsidR="00DD6A9D" w:rsidRPr="00DD6A9D">
        <w:rPr>
          <w:color w:val="auto"/>
        </w:rPr>
        <w:t>C</w:t>
      </w:r>
      <w:r w:rsidR="00DD6A9D">
        <w:rPr>
          <w:color w:val="auto"/>
        </w:rPr>
        <w:t xml:space="preserve">alcium Alginate </w:t>
      </w:r>
      <w:proofErr w:type="spellStart"/>
      <w:r w:rsidR="00DD6A9D">
        <w:rPr>
          <w:color w:val="auto"/>
        </w:rPr>
        <w:t>Hydrogel</w:t>
      </w:r>
      <w:proofErr w:type="spellEnd"/>
      <w:r w:rsidR="00DD6A9D">
        <w:rPr>
          <w:color w:val="auto"/>
        </w:rPr>
        <w:t xml:space="preserve"> Encapsulation of Insulin and </w:t>
      </w:r>
      <w:r w:rsidR="00DD6A9D" w:rsidRPr="00DD6A9D">
        <w:rPr>
          <w:color w:val="auto"/>
        </w:rPr>
        <w:t xml:space="preserve">Enzyme Linked </w:t>
      </w:r>
      <w:proofErr w:type="spellStart"/>
      <w:r w:rsidR="00DD6A9D" w:rsidRPr="00DD6A9D">
        <w:rPr>
          <w:color w:val="auto"/>
        </w:rPr>
        <w:t>Immunosorbent</w:t>
      </w:r>
      <w:proofErr w:type="spellEnd"/>
      <w:r w:rsidR="00DD6A9D" w:rsidRPr="00DD6A9D">
        <w:rPr>
          <w:color w:val="auto"/>
        </w:rPr>
        <w:t xml:space="preserve"> Assay (ELISA</w:t>
      </w:r>
      <w:r w:rsidR="00DD6A9D">
        <w:rPr>
          <w:color w:val="auto"/>
        </w:rPr>
        <w:t>)</w:t>
      </w:r>
    </w:p>
    <w:p w:rsidR="00E95F2E" w:rsidRDefault="00E95F2E" w:rsidP="00E95F2E">
      <w:pPr>
        <w:pStyle w:val="Heading3"/>
      </w:pPr>
      <w:r>
        <w:t>Introduction and Objective</w:t>
      </w:r>
    </w:p>
    <w:p w:rsidR="00041534" w:rsidRDefault="005E442D" w:rsidP="005E442D">
      <w:r>
        <w:t>The objective of this third and last section of the NE 481 lab is to</w:t>
      </w:r>
      <w:r w:rsidR="00041534">
        <w:t xml:space="preserve"> encapsulate human insulin using alginate gel formatio</w:t>
      </w:r>
      <w:r>
        <w:t>ns created using alginate and calcium</w:t>
      </w:r>
      <w:r w:rsidR="00041534">
        <w:t xml:space="preserve"> ions</w:t>
      </w:r>
      <w:r>
        <w:t xml:space="preserve">. We then attempt </w:t>
      </w:r>
      <w:r w:rsidR="00041534">
        <w:t xml:space="preserve">to determine insulin </w:t>
      </w:r>
      <w:r>
        <w:t xml:space="preserve">levels </w:t>
      </w:r>
      <w:r w:rsidR="00041534">
        <w:t>in our created</w:t>
      </w:r>
      <w:r>
        <w:t xml:space="preserve"> alginate sample and in an unknown sample using a modern technique known as </w:t>
      </w:r>
      <w:r w:rsidRPr="005E442D">
        <w:t xml:space="preserve">Enzyme Linked </w:t>
      </w:r>
      <w:proofErr w:type="spellStart"/>
      <w:r w:rsidRPr="005E442D">
        <w:t>Immunosorbent</w:t>
      </w:r>
      <w:proofErr w:type="spellEnd"/>
      <w:r w:rsidRPr="005E442D">
        <w:t xml:space="preserve"> Assay</w:t>
      </w:r>
      <w:r>
        <w:t xml:space="preserve"> (ELISA).</w:t>
      </w:r>
    </w:p>
    <w:p w:rsidR="00E95F2E" w:rsidRDefault="00E95F2E" w:rsidP="00E95F2E">
      <w:pPr>
        <w:pStyle w:val="Heading3"/>
      </w:pPr>
      <w:r>
        <w:t>Experimental Procedure</w:t>
      </w:r>
    </w:p>
    <w:p w:rsidR="00041534" w:rsidRPr="00041534" w:rsidRDefault="005C1A03" w:rsidP="005E442D">
      <w:r>
        <w:t xml:space="preserve">The procedure for this laboratory was obtained from </w:t>
      </w:r>
      <w:r w:rsidRPr="000C58D7">
        <w:t>the</w:t>
      </w:r>
      <w:r>
        <w:t xml:space="preserve"> </w:t>
      </w:r>
      <w:r w:rsidRPr="00E4295B">
        <w:t xml:space="preserve">NE 454L/481L </w:t>
      </w:r>
      <w:proofErr w:type="spellStart"/>
      <w:r>
        <w:t>Nanoscale</w:t>
      </w:r>
      <w:proofErr w:type="spellEnd"/>
      <w:r>
        <w:t xml:space="preserve"> </w:t>
      </w:r>
      <w:proofErr w:type="spellStart"/>
      <w:r>
        <w:t>Biosystems</w:t>
      </w:r>
      <w:proofErr w:type="spellEnd"/>
      <w:r>
        <w:t xml:space="preserve"> Laboratory 3 part of the Nanotechnology Engineering Program 4A Lab Manuals, 2009. </w:t>
      </w:r>
      <w:r w:rsidR="005E442D">
        <w:t>Because our group’s results were completely inaccurate and skewed due to several errors in procedure, we had to obtain and use results from another group (Group 3) for the purposes of data analysis and discussion in the laboratory report.</w:t>
      </w:r>
    </w:p>
    <w:p w:rsidR="00E95F2E" w:rsidRDefault="00E95F2E" w:rsidP="00E95F2E">
      <w:pPr>
        <w:pStyle w:val="Heading3"/>
        <w:rPr>
          <w:lang w:eastAsia="en-US"/>
        </w:rPr>
      </w:pPr>
      <w:r w:rsidRPr="005D4510">
        <w:rPr>
          <w:lang w:eastAsia="en-US"/>
        </w:rPr>
        <w:t>Results</w:t>
      </w:r>
      <w:r w:rsidR="008F0FA8">
        <w:rPr>
          <w:lang w:eastAsia="en-US"/>
        </w:rPr>
        <w:t xml:space="preserve"> and Data Collected</w:t>
      </w:r>
    </w:p>
    <w:p w:rsidR="00041534" w:rsidRPr="00041534" w:rsidRDefault="00041534" w:rsidP="005E442D">
      <w:pPr>
        <w:rPr>
          <w:szCs w:val="24"/>
        </w:rPr>
      </w:pPr>
      <w:r w:rsidRPr="00041534">
        <w:rPr>
          <w:szCs w:val="24"/>
        </w:rPr>
        <w:t xml:space="preserve">The reported values below are our measured results. These values are not applicable to </w:t>
      </w:r>
      <w:r w:rsidR="005E442D">
        <w:rPr>
          <w:szCs w:val="24"/>
        </w:rPr>
        <w:t>ELISA since we used a different group’s results.</w:t>
      </w:r>
    </w:p>
    <w:p w:rsidR="00041534" w:rsidRPr="00041534" w:rsidRDefault="00041534" w:rsidP="00041534">
      <w:pPr>
        <w:pStyle w:val="NoSpacing"/>
        <w:rPr>
          <w:rFonts w:eastAsia="Times New Roman"/>
          <w:sz w:val="24"/>
          <w:szCs w:val="24"/>
          <w:lang w:val="en-US"/>
        </w:rPr>
      </w:pPr>
      <w:r w:rsidRPr="00041534">
        <w:rPr>
          <w:rFonts w:eastAsia="Times New Roman"/>
          <w:sz w:val="24"/>
          <w:szCs w:val="24"/>
          <w:lang w:val="en-US"/>
        </w:rPr>
        <w:t xml:space="preserve">Mass of alginate added: </w:t>
      </w:r>
      <w:r w:rsidRPr="005E442D">
        <w:rPr>
          <w:rFonts w:eastAsia="Times New Roman"/>
          <w:b/>
          <w:bCs/>
          <w:sz w:val="24"/>
          <w:szCs w:val="24"/>
          <w:lang w:val="en-US"/>
        </w:rPr>
        <w:t>0.0212</w:t>
      </w:r>
      <w:r w:rsidR="005E442D">
        <w:rPr>
          <w:rFonts w:eastAsia="Times New Roman"/>
          <w:b/>
          <w:bCs/>
          <w:sz w:val="24"/>
          <w:szCs w:val="24"/>
          <w:lang w:val="en-US"/>
        </w:rPr>
        <w:t xml:space="preserve"> </w:t>
      </w:r>
      <w:r w:rsidRPr="005E442D">
        <w:rPr>
          <w:rFonts w:eastAsia="Times New Roman"/>
          <w:b/>
          <w:bCs/>
          <w:sz w:val="24"/>
          <w:szCs w:val="24"/>
          <w:lang w:val="en-US"/>
        </w:rPr>
        <w:t>g</w:t>
      </w:r>
    </w:p>
    <w:p w:rsidR="00041534" w:rsidRPr="00041534" w:rsidRDefault="00041534" w:rsidP="00041534">
      <w:pPr>
        <w:pStyle w:val="NoSpacing"/>
        <w:rPr>
          <w:rFonts w:eastAsia="Times New Roman"/>
          <w:sz w:val="24"/>
          <w:szCs w:val="24"/>
          <w:lang w:val="en-US"/>
        </w:rPr>
      </w:pPr>
      <w:r w:rsidRPr="00041534">
        <w:rPr>
          <w:rFonts w:eastAsia="Times New Roman"/>
          <w:sz w:val="24"/>
          <w:szCs w:val="24"/>
          <w:lang w:val="en-US"/>
        </w:rPr>
        <w:t xml:space="preserve">Mass of insulin added: </w:t>
      </w:r>
      <w:r w:rsidRPr="005E442D">
        <w:rPr>
          <w:rFonts w:eastAsia="Times New Roman"/>
          <w:b/>
          <w:bCs/>
          <w:sz w:val="24"/>
          <w:szCs w:val="24"/>
          <w:lang w:val="en-US"/>
        </w:rPr>
        <w:t>0.0113</w:t>
      </w:r>
      <w:r w:rsidR="005E442D">
        <w:rPr>
          <w:rFonts w:eastAsia="Times New Roman"/>
          <w:b/>
          <w:bCs/>
          <w:sz w:val="24"/>
          <w:szCs w:val="24"/>
          <w:lang w:val="en-US"/>
        </w:rPr>
        <w:t xml:space="preserve"> </w:t>
      </w:r>
      <w:r w:rsidRPr="005E442D">
        <w:rPr>
          <w:rFonts w:eastAsia="Times New Roman"/>
          <w:b/>
          <w:bCs/>
          <w:sz w:val="24"/>
          <w:szCs w:val="24"/>
          <w:lang w:val="en-US"/>
        </w:rPr>
        <w:t>g</w:t>
      </w:r>
    </w:p>
    <w:p w:rsidR="00041534" w:rsidRPr="00041534" w:rsidRDefault="00041534" w:rsidP="00041534">
      <w:pPr>
        <w:pStyle w:val="NoSpacing"/>
        <w:rPr>
          <w:rFonts w:eastAsia="Times New Roman"/>
          <w:sz w:val="24"/>
          <w:szCs w:val="24"/>
          <w:lang w:val="en-US"/>
        </w:rPr>
      </w:pPr>
      <w:r w:rsidRPr="00041534">
        <w:rPr>
          <w:rFonts w:eastAsia="Times New Roman"/>
          <w:sz w:val="24"/>
          <w:szCs w:val="24"/>
          <w:lang w:val="en-US"/>
        </w:rPr>
        <w:t>Mass of CaCl</w:t>
      </w:r>
      <w:r w:rsidRPr="005E442D">
        <w:rPr>
          <w:rFonts w:eastAsia="Times New Roman"/>
          <w:sz w:val="24"/>
          <w:szCs w:val="24"/>
          <w:vertAlign w:val="subscript"/>
          <w:lang w:val="en-US"/>
        </w:rPr>
        <w:t>2</w:t>
      </w:r>
      <w:r w:rsidRPr="00041534">
        <w:rPr>
          <w:rFonts w:eastAsia="Times New Roman"/>
          <w:sz w:val="24"/>
          <w:szCs w:val="24"/>
          <w:lang w:val="en-US"/>
        </w:rPr>
        <w:t xml:space="preserve"> added: </w:t>
      </w:r>
      <w:r w:rsidRPr="005E442D">
        <w:rPr>
          <w:rFonts w:eastAsia="Times New Roman"/>
          <w:b/>
          <w:bCs/>
          <w:sz w:val="24"/>
          <w:szCs w:val="24"/>
          <w:lang w:val="en-US"/>
        </w:rPr>
        <w:t>0.1667</w:t>
      </w:r>
      <w:r w:rsidR="005E442D">
        <w:rPr>
          <w:rFonts w:eastAsia="Times New Roman"/>
          <w:b/>
          <w:bCs/>
          <w:sz w:val="24"/>
          <w:szCs w:val="24"/>
          <w:lang w:val="en-US"/>
        </w:rPr>
        <w:t xml:space="preserve"> </w:t>
      </w:r>
      <w:r w:rsidRPr="005E442D">
        <w:rPr>
          <w:rFonts w:eastAsia="Times New Roman"/>
          <w:b/>
          <w:bCs/>
          <w:sz w:val="24"/>
          <w:szCs w:val="24"/>
          <w:lang w:val="en-US"/>
        </w:rPr>
        <w:t>g</w:t>
      </w:r>
    </w:p>
    <w:p w:rsidR="00041534" w:rsidRPr="005E442D" w:rsidRDefault="00041534" w:rsidP="00041534">
      <w:pPr>
        <w:pStyle w:val="NoSpacing"/>
        <w:rPr>
          <w:rFonts w:eastAsia="Times New Roman"/>
          <w:b/>
          <w:bCs/>
          <w:sz w:val="24"/>
          <w:szCs w:val="24"/>
          <w:lang w:val="en-US"/>
        </w:rPr>
      </w:pPr>
      <w:r w:rsidRPr="00041534">
        <w:rPr>
          <w:rFonts w:eastAsia="Times New Roman"/>
          <w:sz w:val="24"/>
          <w:szCs w:val="24"/>
          <w:lang w:val="en-US"/>
        </w:rPr>
        <w:t xml:space="preserve">Mass of EDTA added: </w:t>
      </w:r>
      <w:r w:rsidRPr="005E442D">
        <w:rPr>
          <w:rFonts w:eastAsia="Times New Roman"/>
          <w:b/>
          <w:bCs/>
          <w:sz w:val="24"/>
          <w:szCs w:val="24"/>
          <w:lang w:val="en-US"/>
        </w:rPr>
        <w:t>0.0496</w:t>
      </w:r>
      <w:r w:rsidR="005E442D">
        <w:rPr>
          <w:rFonts w:eastAsia="Times New Roman"/>
          <w:b/>
          <w:bCs/>
          <w:sz w:val="24"/>
          <w:szCs w:val="24"/>
          <w:lang w:val="en-US"/>
        </w:rPr>
        <w:t xml:space="preserve"> </w:t>
      </w:r>
      <w:r w:rsidRPr="005E442D">
        <w:rPr>
          <w:rFonts w:eastAsia="Times New Roman"/>
          <w:b/>
          <w:bCs/>
          <w:sz w:val="24"/>
          <w:szCs w:val="24"/>
          <w:lang w:val="en-US"/>
        </w:rPr>
        <w:t>g</w:t>
      </w:r>
    </w:p>
    <w:p w:rsidR="00041534" w:rsidRPr="00041534" w:rsidRDefault="00041534" w:rsidP="00041534">
      <w:pPr>
        <w:pStyle w:val="NoSpacing"/>
        <w:rPr>
          <w:rFonts w:eastAsia="Times New Roman"/>
          <w:sz w:val="24"/>
          <w:szCs w:val="24"/>
          <w:lang w:val="en-US"/>
        </w:rPr>
      </w:pPr>
    </w:p>
    <w:p w:rsidR="00041534" w:rsidRDefault="00041534" w:rsidP="00DD6A9D">
      <w:pPr>
        <w:pStyle w:val="NoSpacing"/>
        <w:rPr>
          <w:rFonts w:eastAsia="Times New Roman"/>
          <w:b/>
          <w:bCs/>
          <w:sz w:val="24"/>
          <w:szCs w:val="24"/>
          <w:lang w:val="en-US"/>
        </w:rPr>
      </w:pPr>
      <w:r w:rsidRPr="00041534">
        <w:rPr>
          <w:rFonts w:eastAsia="Times New Roman"/>
          <w:sz w:val="24"/>
          <w:szCs w:val="24"/>
          <w:lang w:val="en-US"/>
        </w:rPr>
        <w:t>Molar mass of CaCl2 = 110.98 g/mol</w:t>
      </w:r>
      <w:r>
        <w:rPr>
          <w:rFonts w:eastAsia="Times New Roman"/>
          <w:sz w:val="24"/>
          <w:szCs w:val="24"/>
          <w:lang w:val="en-US"/>
        </w:rPr>
        <w:br/>
      </w:r>
      <w:r w:rsidRPr="00041534">
        <w:rPr>
          <w:rFonts w:eastAsia="Times New Roman"/>
          <w:sz w:val="24"/>
          <w:szCs w:val="24"/>
          <w:lang w:val="en-US"/>
        </w:rPr>
        <w:t xml:space="preserve">Unknown </w:t>
      </w:r>
      <w:r w:rsidR="00DD6A9D">
        <w:rPr>
          <w:rFonts w:eastAsia="Times New Roman"/>
          <w:sz w:val="24"/>
          <w:szCs w:val="24"/>
          <w:lang w:val="en-US"/>
        </w:rPr>
        <w:t xml:space="preserve">sample number provided </w:t>
      </w:r>
      <w:r w:rsidRPr="00041534">
        <w:rPr>
          <w:rFonts w:eastAsia="Times New Roman"/>
          <w:sz w:val="24"/>
          <w:szCs w:val="24"/>
          <w:lang w:val="en-US"/>
        </w:rPr>
        <w:t>to us</w:t>
      </w:r>
      <w:r w:rsidR="00DD6A9D">
        <w:rPr>
          <w:rFonts w:eastAsia="Times New Roman"/>
          <w:sz w:val="24"/>
          <w:szCs w:val="24"/>
          <w:lang w:val="en-US"/>
        </w:rPr>
        <w:t xml:space="preserve"> by lab instructor</w:t>
      </w:r>
      <w:r w:rsidRPr="00041534">
        <w:rPr>
          <w:rFonts w:eastAsia="Times New Roman"/>
          <w:sz w:val="24"/>
          <w:szCs w:val="24"/>
          <w:lang w:val="en-US"/>
        </w:rPr>
        <w:t xml:space="preserve">: </w:t>
      </w:r>
      <w:r w:rsidRPr="00041534">
        <w:rPr>
          <w:rFonts w:eastAsia="Times New Roman"/>
          <w:b/>
          <w:bCs/>
          <w:sz w:val="24"/>
          <w:szCs w:val="24"/>
          <w:lang w:val="en-US"/>
        </w:rPr>
        <w:t>#4</w:t>
      </w:r>
    </w:p>
    <w:p w:rsidR="00041534" w:rsidRPr="00041534" w:rsidRDefault="00041534" w:rsidP="00041534">
      <w:pPr>
        <w:pStyle w:val="NoSpacing"/>
        <w:rPr>
          <w:rFonts w:eastAsia="Times New Roman"/>
          <w:sz w:val="24"/>
          <w:szCs w:val="24"/>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
        <w:gridCol w:w="1153"/>
        <w:gridCol w:w="1152"/>
        <w:gridCol w:w="1261"/>
        <w:gridCol w:w="1261"/>
        <w:gridCol w:w="1261"/>
      </w:tblGrid>
      <w:tr w:rsidR="00041534" w:rsidRPr="004B7D97" w:rsidTr="00041534">
        <w:trPr>
          <w:trHeight w:val="475"/>
          <w:tblCellSpacing w:w="0" w:type="dxa"/>
        </w:trPr>
        <w:tc>
          <w:tcPr>
            <w:tcW w:w="6300" w:type="dxa"/>
            <w:gridSpan w:val="6"/>
            <w:vAlign w:val="center"/>
            <w:hideMark/>
          </w:tcPr>
          <w:p w:rsidR="00041534" w:rsidRPr="004B7D97" w:rsidRDefault="00041534" w:rsidP="00372450">
            <w:pPr>
              <w:spacing w:after="0" w:line="240" w:lineRule="auto"/>
              <w:jc w:val="center"/>
              <w:rPr>
                <w:rFonts w:eastAsia="Times New Roman" w:cs="Times New Roman"/>
                <w:sz w:val="20"/>
                <w:szCs w:val="20"/>
                <w:lang w:val="en-US"/>
              </w:rPr>
            </w:pPr>
            <w:r w:rsidRPr="004B7D97">
              <w:rPr>
                <w:rFonts w:eastAsia="Times New Roman" w:cs="Times New Roman"/>
                <w:sz w:val="20"/>
                <w:szCs w:val="20"/>
                <w:lang w:val="en-US"/>
              </w:rPr>
              <w:t>ELISA Plate Layout (One strip per group)</w:t>
            </w:r>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 </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Group 1</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Group 2</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Group 3</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Group 4</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Group 5</w:t>
            </w:r>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 </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1</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2</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3</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4</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5</w:t>
            </w:r>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A</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Blank</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5uU/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10uU/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20uU/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5uU/</w:t>
            </w:r>
            <w:proofErr w:type="spellStart"/>
            <w:r w:rsidRPr="004B7D97">
              <w:rPr>
                <w:rFonts w:eastAsia="Times New Roman" w:cs="Times New Roman"/>
                <w:sz w:val="20"/>
                <w:szCs w:val="20"/>
                <w:lang w:val="en-US"/>
              </w:rPr>
              <w:t>mL</w:t>
            </w:r>
            <w:proofErr w:type="spellEnd"/>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B</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Blank</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5uU/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10uU/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20uU/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5uU/</w:t>
            </w:r>
            <w:proofErr w:type="spellStart"/>
            <w:r w:rsidRPr="004B7D97">
              <w:rPr>
                <w:rFonts w:eastAsia="Times New Roman" w:cs="Times New Roman"/>
                <w:sz w:val="20"/>
                <w:szCs w:val="20"/>
                <w:lang w:val="en-US"/>
              </w:rPr>
              <w:t>mL</w:t>
            </w:r>
            <w:proofErr w:type="spellEnd"/>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C</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2uU/</w:t>
            </w:r>
            <w:proofErr w:type="spellStart"/>
            <w:r w:rsidRPr="004B7D97">
              <w:rPr>
                <w:rFonts w:eastAsia="Times New Roman" w:cs="Times New Roman"/>
                <w:sz w:val="20"/>
                <w:szCs w:val="20"/>
                <w:lang w:val="en-US"/>
              </w:rPr>
              <w:t>mL</w:t>
            </w:r>
            <w:proofErr w:type="spellEnd"/>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50uU/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100uU/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200uU/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100uU/</w:t>
            </w:r>
            <w:proofErr w:type="spellStart"/>
            <w:r w:rsidRPr="004B7D97">
              <w:rPr>
                <w:rFonts w:eastAsia="Times New Roman" w:cs="Times New Roman"/>
                <w:sz w:val="20"/>
                <w:szCs w:val="20"/>
                <w:lang w:val="en-US"/>
              </w:rPr>
              <w:t>mL</w:t>
            </w:r>
            <w:proofErr w:type="spellEnd"/>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D</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2uU/</w:t>
            </w:r>
            <w:proofErr w:type="spellStart"/>
            <w:r w:rsidRPr="004B7D97">
              <w:rPr>
                <w:rFonts w:eastAsia="Times New Roman" w:cs="Times New Roman"/>
                <w:sz w:val="20"/>
                <w:szCs w:val="20"/>
                <w:lang w:val="en-US"/>
              </w:rPr>
              <w:t>mL</w:t>
            </w:r>
            <w:proofErr w:type="spellEnd"/>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50uU/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100uU/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200uU/</w:t>
            </w:r>
            <w:proofErr w:type="spellStart"/>
            <w:r w:rsidRPr="004B7D97">
              <w:rPr>
                <w:rFonts w:eastAsia="Times New Roman" w:cs="Times New Roman"/>
                <w:sz w:val="20"/>
                <w:szCs w:val="20"/>
                <w:lang w:val="en-US"/>
              </w:rPr>
              <w:t>mL</w:t>
            </w:r>
            <w:proofErr w:type="spellEnd"/>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100uU/</w:t>
            </w:r>
            <w:proofErr w:type="spellStart"/>
            <w:r w:rsidRPr="004B7D97">
              <w:rPr>
                <w:rFonts w:eastAsia="Times New Roman" w:cs="Times New Roman"/>
                <w:sz w:val="20"/>
                <w:szCs w:val="20"/>
                <w:lang w:val="en-US"/>
              </w:rPr>
              <w:t>mL</w:t>
            </w:r>
            <w:proofErr w:type="spellEnd"/>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E</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F</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Sample</w:t>
            </w:r>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G</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r>
      <w:tr w:rsidR="00041534" w:rsidRPr="004B7D97" w:rsidTr="00041534">
        <w:trPr>
          <w:trHeight w:val="340"/>
          <w:tblCellSpacing w:w="0" w:type="dxa"/>
        </w:trPr>
        <w:tc>
          <w:tcPr>
            <w:tcW w:w="21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H</w:t>
            </w:r>
          </w:p>
        </w:tc>
        <w:tc>
          <w:tcPr>
            <w:tcW w:w="1153"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152"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c>
          <w:tcPr>
            <w:tcW w:w="1261" w:type="dxa"/>
            <w:vAlign w:val="center"/>
            <w:hideMark/>
          </w:tcPr>
          <w:p w:rsidR="00041534" w:rsidRPr="004B7D97" w:rsidRDefault="00041534" w:rsidP="00372450">
            <w:pPr>
              <w:spacing w:after="0" w:line="240" w:lineRule="auto"/>
              <w:rPr>
                <w:rFonts w:eastAsia="Times New Roman" w:cs="Times New Roman"/>
                <w:sz w:val="20"/>
                <w:szCs w:val="20"/>
                <w:lang w:val="en-US"/>
              </w:rPr>
            </w:pPr>
            <w:r w:rsidRPr="004B7D97">
              <w:rPr>
                <w:rFonts w:eastAsia="Times New Roman" w:cs="Times New Roman"/>
                <w:sz w:val="20"/>
                <w:szCs w:val="20"/>
                <w:lang w:val="en-US"/>
              </w:rPr>
              <w:t>Unknown</w:t>
            </w:r>
          </w:p>
        </w:tc>
      </w:tr>
    </w:tbl>
    <w:p w:rsidR="00041534" w:rsidRDefault="00041534" w:rsidP="00041534">
      <w:pPr>
        <w:rPr>
          <w:lang w:eastAsia="en-US"/>
        </w:rPr>
      </w:pPr>
    </w:p>
    <w:p w:rsidR="00041534" w:rsidRDefault="00041534" w:rsidP="00041534">
      <w:pPr>
        <w:rPr>
          <w:lang w:eastAsia="en-US"/>
        </w:rPr>
      </w:pPr>
    </w:p>
    <w:tbl>
      <w:tblPr>
        <w:tblW w:w="6720" w:type="dxa"/>
        <w:tblCellSpacing w:w="0" w:type="dxa"/>
        <w:tblCellMar>
          <w:left w:w="0" w:type="dxa"/>
          <w:right w:w="0" w:type="dxa"/>
        </w:tblCellMar>
        <w:tblLook w:val="04A0"/>
      </w:tblPr>
      <w:tblGrid>
        <w:gridCol w:w="960"/>
        <w:gridCol w:w="893"/>
        <w:gridCol w:w="1027"/>
        <w:gridCol w:w="960"/>
        <w:gridCol w:w="960"/>
        <w:gridCol w:w="960"/>
        <w:gridCol w:w="960"/>
      </w:tblGrid>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 </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5</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A</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2.452</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2.282</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1.874</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1.972</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2.049</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B</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2.47</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1.923</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1.738</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1.876</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2.078</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C</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2.083</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1.744</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2.308</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2.306</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3.086</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D</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3.182</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1.733</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3.132</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2.366</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2.432</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E</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1.919</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1.697</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1.919</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1.989</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2.062</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F</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2.335</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1.862</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1.755</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1.891</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2.4</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G</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2.627</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1.961</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1.779</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3.102</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3.047</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r w:rsidR="00041534" w:rsidRPr="004B7D97" w:rsidTr="00372450">
        <w:trPr>
          <w:trHeight w:val="300"/>
          <w:tblCellSpacing w:w="0" w:type="dxa"/>
        </w:trPr>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H</w:t>
            </w:r>
          </w:p>
        </w:tc>
        <w:tc>
          <w:tcPr>
            <w:tcW w:w="893"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3.216</w:t>
            </w:r>
          </w:p>
        </w:tc>
        <w:tc>
          <w:tcPr>
            <w:tcW w:w="1027"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2.615</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1.802</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2.036</w:t>
            </w:r>
          </w:p>
        </w:tc>
        <w:tc>
          <w:tcPr>
            <w:tcW w:w="960" w:type="dxa"/>
            <w:tcBorders>
              <w:top w:val="single" w:sz="4" w:space="0" w:color="auto"/>
              <w:left w:val="single" w:sz="4" w:space="0" w:color="auto"/>
              <w:bottom w:val="single" w:sz="4" w:space="0" w:color="auto"/>
              <w:right w:val="single" w:sz="4" w:space="0" w:color="auto"/>
            </w:tcBorders>
            <w:vAlign w:val="center"/>
            <w:hideMark/>
          </w:tcPr>
          <w:p w:rsidR="00041534" w:rsidRPr="004B7D97" w:rsidRDefault="00041534" w:rsidP="00372450">
            <w:pPr>
              <w:spacing w:after="0" w:line="240" w:lineRule="auto"/>
              <w:rPr>
                <w:rFonts w:eastAsia="Times New Roman" w:cs="Times New Roman"/>
                <w:lang w:val="en-US"/>
              </w:rPr>
            </w:pPr>
            <w:r w:rsidRPr="004B7D97">
              <w:rPr>
                <w:rFonts w:eastAsia="Times New Roman" w:cs="Times New Roman"/>
                <w:lang w:val="en-US"/>
              </w:rPr>
              <w:t>2.66</w:t>
            </w:r>
          </w:p>
        </w:tc>
        <w:tc>
          <w:tcPr>
            <w:tcW w:w="960" w:type="dxa"/>
            <w:vAlign w:val="center"/>
            <w:hideMark/>
          </w:tcPr>
          <w:p w:rsidR="00041534" w:rsidRPr="004B7D97" w:rsidRDefault="00041534" w:rsidP="00372450">
            <w:pPr>
              <w:spacing w:after="0" w:line="240" w:lineRule="auto"/>
              <w:rPr>
                <w:rFonts w:ascii="Times New Roman" w:eastAsia="Times New Roman" w:hAnsi="Times New Roman" w:cs="Times New Roman"/>
                <w:szCs w:val="24"/>
                <w:lang w:val="en-US"/>
              </w:rPr>
            </w:pPr>
          </w:p>
        </w:tc>
      </w:tr>
    </w:tbl>
    <w:p w:rsidR="00041534" w:rsidRDefault="00041534" w:rsidP="00041534">
      <w:r>
        <w:br/>
        <w:t>Conversions used in our calculations:</w:t>
      </w:r>
    </w:p>
    <w:p w:rsidR="00041534" w:rsidRDefault="00041534" w:rsidP="00041534">
      <w:r>
        <w:t xml:space="preserve">Insulin: </w:t>
      </w:r>
      <w:r w:rsidRPr="00DD6A9D">
        <w:rPr>
          <w:b/>
          <w:bCs/>
        </w:rPr>
        <w:t>28.9 IU/mg</w:t>
      </w:r>
      <w:r>
        <w:br/>
        <w:t xml:space="preserve">1 </w:t>
      </w:r>
      <w:r w:rsidRPr="00041534">
        <w:rPr>
          <w:rFonts w:ascii="Symbol" w:hAnsi="Symbol"/>
        </w:rPr>
        <w:t></w:t>
      </w:r>
      <w:r>
        <w:t>U/</w:t>
      </w:r>
      <w:proofErr w:type="spellStart"/>
      <w:r>
        <w:t>mL</w:t>
      </w:r>
      <w:proofErr w:type="spellEnd"/>
      <w:r>
        <w:t xml:space="preserve"> = </w:t>
      </w:r>
      <w:r w:rsidRPr="00DD6A9D">
        <w:rPr>
          <w:b/>
          <w:bCs/>
        </w:rPr>
        <w:t>35 pg/</w:t>
      </w:r>
      <w:proofErr w:type="spellStart"/>
      <w:r w:rsidRPr="00DD6A9D">
        <w:rPr>
          <w:b/>
          <w:bCs/>
        </w:rPr>
        <w:t>m</w:t>
      </w:r>
      <w:r w:rsidR="00DD6A9D">
        <w:rPr>
          <w:b/>
          <w:bCs/>
        </w:rPr>
        <w:t>L</w:t>
      </w:r>
      <w:proofErr w:type="spellEnd"/>
    </w:p>
    <w:p w:rsidR="00E95F2E" w:rsidRDefault="00E95F2E" w:rsidP="00E95F2E">
      <w:pPr>
        <w:pStyle w:val="Heading3"/>
        <w:rPr>
          <w:lang w:eastAsia="en-US"/>
        </w:rPr>
      </w:pPr>
      <w:r>
        <w:rPr>
          <w:lang w:eastAsia="en-US"/>
        </w:rPr>
        <w:t>Discussion and Analysis</w:t>
      </w:r>
      <w:r w:rsidR="00041534">
        <w:rPr>
          <w:lang w:eastAsia="en-US"/>
        </w:rPr>
        <w:br/>
      </w:r>
    </w:p>
    <w:p w:rsidR="00041534" w:rsidRDefault="00041534" w:rsidP="00041534">
      <w:pPr>
        <w:rPr>
          <w:b/>
          <w:sz w:val="28"/>
          <w:szCs w:val="28"/>
        </w:rPr>
      </w:pPr>
      <w:r w:rsidRPr="00DC7105">
        <w:rPr>
          <w:b/>
          <w:sz w:val="28"/>
          <w:szCs w:val="28"/>
        </w:rPr>
        <w:t xml:space="preserve">Question </w:t>
      </w:r>
      <w:r>
        <w:rPr>
          <w:b/>
          <w:sz w:val="28"/>
          <w:szCs w:val="28"/>
        </w:rPr>
        <w:t>1</w:t>
      </w:r>
    </w:p>
    <w:p w:rsidR="00F27792" w:rsidRPr="00F27792" w:rsidRDefault="00F27792" w:rsidP="00041534">
      <w:pPr>
        <w:rPr>
          <w:i/>
          <w:iCs/>
        </w:rPr>
      </w:pPr>
      <w:r w:rsidRPr="00F27792">
        <w:rPr>
          <w:i/>
          <w:iCs/>
        </w:rPr>
        <w:t>Calculate means and coefficients of variation</w:t>
      </w:r>
      <w:r>
        <w:rPr>
          <w:i/>
          <w:iCs/>
        </w:rPr>
        <w:t xml:space="preserve"> (CV)</w:t>
      </w:r>
      <w:r w:rsidRPr="00F27792">
        <w:rPr>
          <w:i/>
          <w:iCs/>
        </w:rPr>
        <w:t xml:space="preserve"> for all duplicates.</w:t>
      </w:r>
    </w:p>
    <w:tbl>
      <w:tblPr>
        <w:tblW w:w="5760" w:type="dxa"/>
        <w:tblInd w:w="94" w:type="dxa"/>
        <w:tblLook w:val="04A0"/>
      </w:tblPr>
      <w:tblGrid>
        <w:gridCol w:w="960"/>
        <w:gridCol w:w="1078"/>
        <w:gridCol w:w="1078"/>
        <w:gridCol w:w="1161"/>
        <w:gridCol w:w="1161"/>
        <w:gridCol w:w="1161"/>
      </w:tblGrid>
      <w:tr w:rsidR="00041534" w:rsidRPr="002E7290" w:rsidTr="00372450">
        <w:trPr>
          <w:trHeight w:val="315"/>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Group 1</w:t>
            </w:r>
          </w:p>
        </w:tc>
        <w:tc>
          <w:tcPr>
            <w:tcW w:w="960" w:type="dxa"/>
            <w:tcBorders>
              <w:top w:val="nil"/>
              <w:left w:val="nil"/>
              <w:bottom w:val="nil"/>
              <w:right w:val="nil"/>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Group 2</w:t>
            </w:r>
          </w:p>
        </w:tc>
        <w:tc>
          <w:tcPr>
            <w:tcW w:w="960" w:type="dxa"/>
            <w:tcBorders>
              <w:top w:val="nil"/>
              <w:left w:val="nil"/>
              <w:bottom w:val="nil"/>
              <w:right w:val="nil"/>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Group 3</w:t>
            </w:r>
          </w:p>
        </w:tc>
        <w:tc>
          <w:tcPr>
            <w:tcW w:w="960" w:type="dxa"/>
            <w:tcBorders>
              <w:top w:val="nil"/>
              <w:left w:val="nil"/>
              <w:bottom w:val="nil"/>
              <w:right w:val="nil"/>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Group 4</w:t>
            </w:r>
          </w:p>
        </w:tc>
        <w:tc>
          <w:tcPr>
            <w:tcW w:w="960" w:type="dxa"/>
            <w:tcBorders>
              <w:top w:val="nil"/>
              <w:left w:val="nil"/>
              <w:bottom w:val="nil"/>
              <w:right w:val="nil"/>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Group 5</w:t>
            </w:r>
          </w:p>
        </w:tc>
      </w:tr>
      <w:tr w:rsidR="00041534" w:rsidRPr="002E7290" w:rsidTr="00372450">
        <w:trPr>
          <w:trHeight w:val="315"/>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Blank</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5uU/</w:t>
            </w:r>
            <w:proofErr w:type="spellStart"/>
            <w:r w:rsidRPr="00041534">
              <w:rPr>
                <w:rFonts w:ascii="Calibri" w:eastAsia="Times New Roman" w:hAnsi="Calibri" w:cs="Times New Roman"/>
                <w:color w:val="000000"/>
                <w:sz w:val="22"/>
                <w:lang w:val="en-US"/>
              </w:rPr>
              <w:t>mL</w:t>
            </w:r>
            <w:proofErr w:type="spell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10uU/</w:t>
            </w:r>
            <w:proofErr w:type="spellStart"/>
            <w:r w:rsidRPr="00041534">
              <w:rPr>
                <w:rFonts w:ascii="Calibri" w:eastAsia="Times New Roman" w:hAnsi="Calibri" w:cs="Times New Roman"/>
                <w:color w:val="000000"/>
                <w:sz w:val="22"/>
                <w:lang w:val="en-US"/>
              </w:rPr>
              <w:t>mL</w:t>
            </w:r>
            <w:proofErr w:type="spell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20uU/</w:t>
            </w:r>
            <w:proofErr w:type="spellStart"/>
            <w:r w:rsidRPr="00041534">
              <w:rPr>
                <w:rFonts w:ascii="Calibri" w:eastAsia="Times New Roman" w:hAnsi="Calibri" w:cs="Times New Roman"/>
                <w:color w:val="000000"/>
                <w:sz w:val="22"/>
                <w:lang w:val="en-US"/>
              </w:rPr>
              <w:t>mL</w:t>
            </w:r>
            <w:proofErr w:type="spell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5uU/</w:t>
            </w:r>
            <w:proofErr w:type="spellStart"/>
            <w:r w:rsidRPr="00041534">
              <w:rPr>
                <w:rFonts w:ascii="Calibri" w:eastAsia="Times New Roman" w:hAnsi="Calibri" w:cs="Times New Roman"/>
                <w:color w:val="000000"/>
                <w:sz w:val="22"/>
                <w:lang w:val="en-US"/>
              </w:rPr>
              <w:t>mL</w:t>
            </w:r>
            <w:proofErr w:type="spellEnd"/>
          </w:p>
        </w:tc>
      </w:tr>
      <w:tr w:rsidR="00041534" w:rsidRPr="002E7290" w:rsidTr="00372450">
        <w:trPr>
          <w:trHeight w:val="315"/>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Mean</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2.461</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2.1025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1.806</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1.924</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2.0635</w:t>
            </w:r>
          </w:p>
        </w:tc>
      </w:tr>
      <w:tr w:rsidR="00041534" w:rsidRPr="002E7290" w:rsidTr="00372450">
        <w:trPr>
          <w:trHeight w:val="315"/>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STDEVP</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0.009</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0.1795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0.068</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0.048</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0.0145</w:t>
            </w:r>
          </w:p>
        </w:tc>
      </w:tr>
      <w:tr w:rsidR="00041534" w:rsidRPr="002E7290" w:rsidTr="00372450">
        <w:trPr>
          <w:trHeight w:val="315"/>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CV</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0.003657</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0.085375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0.037652</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0.024948</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0.007027</w:t>
            </w:r>
          </w:p>
        </w:tc>
      </w:tr>
      <w:tr w:rsidR="00041534" w:rsidRPr="002E7290" w:rsidTr="00372450">
        <w:trPr>
          <w:trHeight w:val="315"/>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r>
      <w:tr w:rsidR="00041534" w:rsidRPr="002E7290" w:rsidTr="00372450">
        <w:trPr>
          <w:trHeight w:val="315"/>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2uU/</w:t>
            </w:r>
            <w:proofErr w:type="spellStart"/>
            <w:r w:rsidRPr="00041534">
              <w:rPr>
                <w:rFonts w:ascii="Calibri" w:eastAsia="Times New Roman" w:hAnsi="Calibri" w:cs="Times New Roman"/>
                <w:color w:val="000000"/>
                <w:sz w:val="22"/>
                <w:lang w:val="en-US"/>
              </w:rPr>
              <w:t>mL</w:t>
            </w:r>
            <w:proofErr w:type="spell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50uU/</w:t>
            </w:r>
            <w:proofErr w:type="spellStart"/>
            <w:r w:rsidRPr="00041534">
              <w:rPr>
                <w:rFonts w:ascii="Calibri" w:eastAsia="Times New Roman" w:hAnsi="Calibri" w:cs="Times New Roman"/>
                <w:color w:val="000000"/>
                <w:sz w:val="22"/>
                <w:lang w:val="en-US"/>
              </w:rPr>
              <w:t>mL</w:t>
            </w:r>
            <w:proofErr w:type="spell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100uU/</w:t>
            </w:r>
            <w:proofErr w:type="spellStart"/>
            <w:r w:rsidRPr="00041534">
              <w:rPr>
                <w:rFonts w:ascii="Calibri" w:eastAsia="Times New Roman" w:hAnsi="Calibri" w:cs="Times New Roman"/>
                <w:color w:val="000000"/>
                <w:sz w:val="22"/>
                <w:lang w:val="en-US"/>
              </w:rPr>
              <w:t>mL</w:t>
            </w:r>
            <w:proofErr w:type="spell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200uU/</w:t>
            </w:r>
            <w:proofErr w:type="spellStart"/>
            <w:r w:rsidRPr="00041534">
              <w:rPr>
                <w:rFonts w:ascii="Calibri" w:eastAsia="Times New Roman" w:hAnsi="Calibri" w:cs="Times New Roman"/>
                <w:color w:val="000000"/>
                <w:sz w:val="22"/>
                <w:lang w:val="en-US"/>
              </w:rPr>
              <w:t>mL</w:t>
            </w:r>
            <w:proofErr w:type="spell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100uU/</w:t>
            </w:r>
            <w:proofErr w:type="spellStart"/>
            <w:r w:rsidRPr="00041534">
              <w:rPr>
                <w:rFonts w:ascii="Calibri" w:eastAsia="Times New Roman" w:hAnsi="Calibri" w:cs="Times New Roman"/>
                <w:color w:val="000000"/>
                <w:sz w:val="22"/>
                <w:lang w:val="en-US"/>
              </w:rPr>
              <w:t>mL</w:t>
            </w:r>
            <w:proofErr w:type="spellEnd"/>
          </w:p>
        </w:tc>
      </w:tr>
      <w:tr w:rsidR="00041534" w:rsidRPr="002E7290" w:rsidTr="00372450">
        <w:trPr>
          <w:trHeight w:val="315"/>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Mean</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2.6325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1.7385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2.72</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2.336</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2.759</w:t>
            </w:r>
          </w:p>
        </w:tc>
      </w:tr>
      <w:tr w:rsidR="00041534" w:rsidRPr="002E7290" w:rsidTr="00372450">
        <w:trPr>
          <w:trHeight w:val="315"/>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STDEVP</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0.5495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0.0055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0.412</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0.03</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0.327</w:t>
            </w:r>
          </w:p>
        </w:tc>
      </w:tr>
      <w:tr w:rsidR="00041534" w:rsidRPr="002E7290" w:rsidTr="00372450">
        <w:trPr>
          <w:trHeight w:val="300"/>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CV</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0.208737</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0.003164</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0.151471</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0.012842</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0.118521</w:t>
            </w:r>
          </w:p>
        </w:tc>
      </w:tr>
      <w:tr w:rsidR="00041534" w:rsidRPr="002E7290" w:rsidTr="00372450">
        <w:trPr>
          <w:trHeight w:val="300"/>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r>
      <w:tr w:rsidR="00041534" w:rsidRPr="002E7290" w:rsidTr="00372450">
        <w:trPr>
          <w:trHeight w:val="315"/>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Sample</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Sample</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Sample</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Sample</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Sample</w:t>
            </w:r>
          </w:p>
        </w:tc>
      </w:tr>
      <w:tr w:rsidR="00041534" w:rsidRPr="002E7290" w:rsidTr="00372450">
        <w:trPr>
          <w:trHeight w:val="300"/>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Mean</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2.127</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1.7795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1.837</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1.94</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2.231</w:t>
            </w:r>
          </w:p>
        </w:tc>
      </w:tr>
      <w:tr w:rsidR="00041534" w:rsidRPr="002E7290" w:rsidTr="00372450">
        <w:trPr>
          <w:trHeight w:val="300"/>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STDEVP</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0.208</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0.0825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0.082</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0.049</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0.169</w:t>
            </w:r>
          </w:p>
        </w:tc>
      </w:tr>
      <w:tr w:rsidR="00041534" w:rsidRPr="002E7290" w:rsidTr="00372450">
        <w:trPr>
          <w:trHeight w:val="300"/>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CV</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0.09779</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0.046361</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0.044638</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0.025258</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0.075751</w:t>
            </w:r>
          </w:p>
        </w:tc>
      </w:tr>
      <w:tr w:rsidR="00041534" w:rsidRPr="002E7290" w:rsidTr="00372450">
        <w:trPr>
          <w:trHeight w:val="300"/>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r>
      <w:tr w:rsidR="00041534" w:rsidRPr="002E7290" w:rsidTr="00372450">
        <w:trPr>
          <w:trHeight w:val="315"/>
        </w:trPr>
        <w:tc>
          <w:tcPr>
            <w:tcW w:w="960" w:type="dxa"/>
            <w:tcBorders>
              <w:top w:val="nil"/>
              <w:left w:val="nil"/>
              <w:bottom w:val="nil"/>
              <w:right w:val="nil"/>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Unknown</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Unknown</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Unknown</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Unknown</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Unknown</w:t>
            </w:r>
          </w:p>
        </w:tc>
      </w:tr>
      <w:tr w:rsidR="00041534" w:rsidRPr="002E7290" w:rsidTr="00372450">
        <w:trPr>
          <w:trHeight w:val="300"/>
        </w:trPr>
        <w:tc>
          <w:tcPr>
            <w:tcW w:w="9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Mean</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2.9215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2.288</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1.7905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2.569</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2.8535</w:t>
            </w:r>
          </w:p>
        </w:tc>
      </w:tr>
      <w:tr w:rsidR="00041534" w:rsidRPr="002E7290" w:rsidTr="00372450">
        <w:trPr>
          <w:trHeight w:val="300"/>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STDEVP</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0.2945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0.327</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0.0115</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0.533</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0.1935</w:t>
            </w:r>
          </w:p>
        </w:tc>
      </w:tr>
      <w:tr w:rsidR="00041534" w:rsidRPr="002E7290" w:rsidTr="00372450">
        <w:trPr>
          <w:trHeight w:val="300"/>
        </w:trPr>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CV</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0.100804</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0.14292</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0.006423</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0.207474</w:t>
            </w:r>
          </w:p>
        </w:tc>
        <w:tc>
          <w:tcPr>
            <w:tcW w:w="960" w:type="dxa"/>
            <w:tcBorders>
              <w:top w:val="nil"/>
              <w:left w:val="nil"/>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jc w:val="right"/>
              <w:rPr>
                <w:rFonts w:ascii="Calibri" w:eastAsia="Times New Roman" w:hAnsi="Calibri" w:cs="Times New Roman"/>
                <w:color w:val="000000"/>
                <w:lang w:val="en-US"/>
              </w:rPr>
            </w:pPr>
            <w:r w:rsidRPr="00041534">
              <w:rPr>
                <w:rFonts w:ascii="Calibri" w:eastAsia="Times New Roman" w:hAnsi="Calibri" w:cs="Times New Roman"/>
                <w:color w:val="000000"/>
                <w:sz w:val="22"/>
                <w:lang w:val="en-US"/>
              </w:rPr>
              <w:t>0.067811</w:t>
            </w:r>
          </w:p>
        </w:tc>
      </w:tr>
    </w:tbl>
    <w:p w:rsidR="00041534" w:rsidRDefault="00041534" w:rsidP="00041534"/>
    <w:p w:rsidR="00F27792" w:rsidRDefault="00F27792" w:rsidP="00F27792">
      <w:r>
        <w:t>The above means and coefficients of variation (CV) were obtained with the help of the following built-in Excel spreadsheet functions:</w:t>
      </w:r>
    </w:p>
    <w:p w:rsidR="00F27792" w:rsidRDefault="00F27792" w:rsidP="00F27792">
      <w:pPr>
        <w:pStyle w:val="ListParagraph"/>
        <w:numPr>
          <w:ilvl w:val="0"/>
          <w:numId w:val="5"/>
        </w:numPr>
      </w:pPr>
      <w:r>
        <w:t xml:space="preserve">The </w:t>
      </w:r>
      <w:proofErr w:type="gramStart"/>
      <w:r>
        <w:t>AVERAGE(</w:t>
      </w:r>
      <w:proofErr w:type="gramEnd"/>
      <w:r>
        <w:t xml:space="preserve">) function </w:t>
      </w:r>
      <w:r w:rsidR="00041534">
        <w:t xml:space="preserve">was used to calculate the mean </w:t>
      </w:r>
      <w:r>
        <w:t>for all duplicates</w:t>
      </w:r>
      <w:r w:rsidR="00041534">
        <w:t>.</w:t>
      </w:r>
    </w:p>
    <w:p w:rsidR="00F27792" w:rsidRDefault="00F27792" w:rsidP="00F27792">
      <w:pPr>
        <w:pStyle w:val="ListParagraph"/>
        <w:numPr>
          <w:ilvl w:val="0"/>
          <w:numId w:val="5"/>
        </w:numPr>
      </w:pPr>
      <w:r>
        <w:t xml:space="preserve">The </w:t>
      </w:r>
      <w:r w:rsidR="00041534">
        <w:t>STDEVP</w:t>
      </w:r>
      <w:r>
        <w:t>() function</w:t>
      </w:r>
      <w:r w:rsidR="00041534">
        <w:t xml:space="preserve"> was used to calculate </w:t>
      </w:r>
      <w:r>
        <w:t xml:space="preserve">the </w:t>
      </w:r>
      <w:r w:rsidR="00041534">
        <w:t xml:space="preserve">standard deviation </w:t>
      </w:r>
      <w:r>
        <w:t>for all duplicates</w:t>
      </w:r>
    </w:p>
    <w:p w:rsidR="00041534" w:rsidRDefault="00F27792" w:rsidP="00F27792">
      <w:pPr>
        <w:pStyle w:val="ListParagraph"/>
        <w:numPr>
          <w:ilvl w:val="0"/>
          <w:numId w:val="5"/>
        </w:numPr>
      </w:pPr>
      <w:r>
        <w:t xml:space="preserve">The coefficient of variation, </w:t>
      </w:r>
      <w:r w:rsidR="00041534">
        <w:t>CV</w:t>
      </w:r>
      <w:r>
        <w:t>,</w:t>
      </w:r>
      <w:r w:rsidR="00041534">
        <w:t xml:space="preserve"> was calculated </w:t>
      </w:r>
      <w:r>
        <w:t xml:space="preserve">by </w:t>
      </w:r>
      <w:r w:rsidR="00041534">
        <w:t xml:space="preserve">dividing </w:t>
      </w:r>
      <w:r>
        <w:t xml:space="preserve">the result obtained from </w:t>
      </w:r>
      <w:proofErr w:type="gramStart"/>
      <w:r w:rsidR="00041534">
        <w:t>STDEVP</w:t>
      </w:r>
      <w:r>
        <w:t>(</w:t>
      </w:r>
      <w:proofErr w:type="gramEnd"/>
      <w:r>
        <w:t>)</w:t>
      </w:r>
      <w:r w:rsidR="00041534">
        <w:t xml:space="preserve"> by</w:t>
      </w:r>
      <w:r>
        <w:t xml:space="preserve"> the result obtained from AVERAGE()</w:t>
      </w:r>
      <w:r w:rsidR="00041534">
        <w:t>.</w:t>
      </w:r>
      <w:r>
        <w:t xml:space="preserve"> Thus CV = STDEVP() /  AVERAGE()</w:t>
      </w:r>
    </w:p>
    <w:p w:rsidR="00385308" w:rsidRDefault="00041534" w:rsidP="00385308">
      <w:r w:rsidRPr="00DC7105">
        <w:rPr>
          <w:b/>
          <w:sz w:val="28"/>
          <w:szCs w:val="28"/>
        </w:rPr>
        <w:t xml:space="preserve">Question </w:t>
      </w:r>
      <w:r>
        <w:rPr>
          <w:b/>
          <w:sz w:val="28"/>
          <w:szCs w:val="28"/>
        </w:rPr>
        <w:t>2</w:t>
      </w:r>
    </w:p>
    <w:p w:rsidR="00385308" w:rsidRPr="00385308" w:rsidRDefault="00385308" w:rsidP="00385308">
      <w:pPr>
        <w:rPr>
          <w:i/>
          <w:iCs/>
        </w:rPr>
      </w:pPr>
      <w:r w:rsidRPr="00385308">
        <w:rPr>
          <w:i/>
          <w:iCs/>
        </w:rPr>
        <w:t xml:space="preserve">Plot a standard curve of the standards, fit a line to it. Fit data onto the model. Does the result match up with what was expected? Does the result match with the absorbance at 280nm? </w:t>
      </w:r>
    </w:p>
    <w:p w:rsidR="00324ABA" w:rsidRDefault="00324ABA" w:rsidP="00324ABA">
      <w:r>
        <w:t>The following graph is a plot of absorbance vs. concentration. Since our data was all over the place, the lab instructor asked us to use the data from a different group that performed their lb on a different day. Unfortunately, their data wasn’t any better either. The graph below shows the best-fit line from which it can be seen how poor the correlation is.</w:t>
      </w:r>
      <w:r w:rsidR="008F0FA8">
        <w:t xml:space="preserve"> There are just too many outliers to form any trend.</w:t>
      </w:r>
    </w:p>
    <w:p w:rsidR="00041534" w:rsidRDefault="00041534" w:rsidP="00041534">
      <w:r w:rsidRPr="00F12888">
        <w:rPr>
          <w:noProof/>
          <w:lang w:eastAsia="en-CA"/>
        </w:rPr>
        <w:drawing>
          <wp:inline distT="0" distB="0" distL="0" distR="0">
            <wp:extent cx="5981700" cy="281940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0FA8" w:rsidRDefault="008F0FA8" w:rsidP="008F0FA8">
      <w:r>
        <w:t>We used the calibration curve and our own group’s data (Group 7) to fit the data on to the model. The following table shows our results:</w:t>
      </w:r>
    </w:p>
    <w:tbl>
      <w:tblPr>
        <w:tblW w:w="5514" w:type="dxa"/>
        <w:tblInd w:w="93" w:type="dxa"/>
        <w:tblLook w:val="04A0"/>
      </w:tblPr>
      <w:tblGrid>
        <w:gridCol w:w="1604"/>
        <w:gridCol w:w="1866"/>
        <w:gridCol w:w="2044"/>
      </w:tblGrid>
      <w:tr w:rsidR="00041534" w:rsidRPr="00FB61F3" w:rsidTr="008F0FA8">
        <w:trPr>
          <w:trHeight w:val="307"/>
        </w:trPr>
        <w:tc>
          <w:tcPr>
            <w:tcW w:w="0" w:type="auto"/>
            <w:tcBorders>
              <w:top w:val="nil"/>
              <w:left w:val="nil"/>
              <w:bottom w:val="nil"/>
              <w:right w:val="single" w:sz="4" w:space="0" w:color="auto"/>
            </w:tcBorders>
            <w:shd w:val="clear" w:color="auto" w:fill="auto"/>
            <w:noWrap/>
            <w:vAlign w:val="bottom"/>
            <w:hideMark/>
          </w:tcPr>
          <w:p w:rsidR="00041534" w:rsidRPr="00FB61F3" w:rsidRDefault="00041534" w:rsidP="00372450">
            <w:pPr>
              <w:spacing w:after="0" w:line="240" w:lineRule="auto"/>
              <w:rPr>
                <w:rFonts w:ascii="Calibri" w:eastAsia="Times New Roman" w:hAnsi="Calibri" w:cs="Times New Roman"/>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041534" w:rsidRDefault="00041534" w:rsidP="00041534">
            <w:pPr>
              <w:spacing w:after="0" w:line="240" w:lineRule="auto"/>
              <w:jc w:val="center"/>
              <w:rPr>
                <w:rFonts w:ascii="Calibri" w:eastAsia="Times New Roman" w:hAnsi="Calibri" w:cs="Times New Roman"/>
                <w:b/>
                <w:bCs/>
                <w:color w:val="000000"/>
                <w:lang w:val="en-US"/>
              </w:rPr>
            </w:pPr>
            <w:r w:rsidRPr="00041534">
              <w:rPr>
                <w:rFonts w:ascii="Calibri" w:eastAsia="Times New Roman" w:hAnsi="Calibri" w:cs="Times New Roman"/>
                <w:b/>
                <w:bCs/>
                <w:color w:val="000000"/>
                <w:lang w:val="en-US"/>
              </w:rPr>
              <w:t>Group 7  Sample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041534" w:rsidRDefault="00041534" w:rsidP="00041534">
            <w:pPr>
              <w:spacing w:after="0" w:line="240" w:lineRule="auto"/>
              <w:jc w:val="center"/>
              <w:rPr>
                <w:rFonts w:ascii="Calibri" w:eastAsia="Times New Roman" w:hAnsi="Calibri" w:cs="Times New Roman"/>
                <w:b/>
                <w:bCs/>
                <w:color w:val="000000"/>
                <w:lang w:val="en-US"/>
              </w:rPr>
            </w:pPr>
            <w:r w:rsidRPr="00041534">
              <w:rPr>
                <w:rFonts w:ascii="Calibri" w:eastAsia="Times New Roman" w:hAnsi="Calibri" w:cs="Times New Roman"/>
                <w:b/>
                <w:bCs/>
                <w:color w:val="000000"/>
                <w:lang w:val="en-US"/>
              </w:rPr>
              <w:t>Group 7 Unknown</w:t>
            </w:r>
          </w:p>
        </w:tc>
      </w:tr>
      <w:tr w:rsidR="00041534" w:rsidRPr="00FB61F3" w:rsidTr="008F0FA8">
        <w:trPr>
          <w:trHeight w:val="29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b/>
                <w:bCs/>
                <w:color w:val="000000"/>
                <w:lang w:val="en-US"/>
              </w:rPr>
            </w:pPr>
            <w:r w:rsidRPr="00041534">
              <w:rPr>
                <w:rFonts w:ascii="Calibri" w:eastAsia="Times New Roman" w:hAnsi="Calibri" w:cs="Times New Roman"/>
                <w:b/>
                <w:bCs/>
                <w:color w:val="000000"/>
                <w:lang w:val="en-US"/>
              </w:rPr>
              <w:t>Mean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8F0FA8">
            <w:pPr>
              <w:spacing w:after="0" w:line="240" w:lineRule="auto"/>
              <w:jc w:val="center"/>
              <w:rPr>
                <w:rFonts w:ascii="Calibri" w:eastAsia="Times New Roman" w:hAnsi="Calibri" w:cs="Times New Roman"/>
                <w:color w:val="000000"/>
                <w:lang w:val="en-US"/>
              </w:rPr>
            </w:pPr>
            <w:r w:rsidRPr="00FB61F3">
              <w:rPr>
                <w:rFonts w:ascii="Calibri" w:eastAsia="Times New Roman" w:hAnsi="Calibri" w:cs="Times New Roman"/>
                <w:color w:val="000000"/>
                <w:lang w:val="en-US"/>
              </w:rPr>
              <w:t>1.2225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1534" w:rsidRPr="00FB61F3" w:rsidRDefault="00041534" w:rsidP="008F0FA8">
            <w:pPr>
              <w:spacing w:after="0" w:line="240" w:lineRule="auto"/>
              <w:jc w:val="center"/>
              <w:rPr>
                <w:rFonts w:ascii="Calibri" w:eastAsia="Times New Roman" w:hAnsi="Calibri" w:cs="Times New Roman"/>
                <w:color w:val="000000"/>
                <w:lang w:val="en-US"/>
              </w:rPr>
            </w:pPr>
            <w:r w:rsidRPr="00FB61F3">
              <w:rPr>
                <w:rFonts w:ascii="Calibri" w:eastAsia="Times New Roman" w:hAnsi="Calibri" w:cs="Times New Roman"/>
                <w:color w:val="000000"/>
                <w:lang w:val="en-US"/>
              </w:rPr>
              <w:t>4.0035</w:t>
            </w:r>
          </w:p>
        </w:tc>
      </w:tr>
      <w:tr w:rsidR="00041534" w:rsidRPr="00FB61F3" w:rsidTr="008F0FA8">
        <w:trPr>
          <w:trHeight w:val="2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b/>
                <w:bCs/>
                <w:color w:val="000000"/>
                <w:lang w:val="en-US"/>
              </w:rPr>
            </w:pPr>
            <w:r w:rsidRPr="00041534">
              <w:rPr>
                <w:rFonts w:ascii="Calibri" w:eastAsia="Times New Roman" w:hAnsi="Calibri" w:cs="Times New Roman"/>
                <w:b/>
                <w:bCs/>
                <w:color w:val="000000"/>
                <w:lang w:val="en-US"/>
              </w:rPr>
              <w:t>STDEVP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8F0FA8">
            <w:pPr>
              <w:spacing w:after="0" w:line="240" w:lineRule="auto"/>
              <w:jc w:val="center"/>
              <w:rPr>
                <w:rFonts w:ascii="Calibri" w:eastAsia="Times New Roman" w:hAnsi="Calibri" w:cs="Times New Roman"/>
                <w:color w:val="000000"/>
                <w:lang w:val="en-US"/>
              </w:rPr>
            </w:pPr>
            <w:r w:rsidRPr="00FB61F3">
              <w:rPr>
                <w:rFonts w:ascii="Calibri" w:eastAsia="Times New Roman" w:hAnsi="Calibri" w:cs="Times New Roman"/>
                <w:color w:val="000000"/>
                <w:lang w:val="en-US"/>
              </w:rPr>
              <w:t>0.0605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1534" w:rsidRPr="00FB61F3" w:rsidRDefault="00041534" w:rsidP="008F0FA8">
            <w:pPr>
              <w:spacing w:after="0" w:line="240" w:lineRule="auto"/>
              <w:jc w:val="center"/>
              <w:rPr>
                <w:rFonts w:ascii="Calibri" w:eastAsia="Times New Roman" w:hAnsi="Calibri" w:cs="Times New Roman"/>
                <w:color w:val="000000"/>
                <w:lang w:val="en-US"/>
              </w:rPr>
            </w:pPr>
            <w:r w:rsidRPr="00FB61F3">
              <w:rPr>
                <w:rFonts w:ascii="Calibri" w:eastAsia="Times New Roman" w:hAnsi="Calibri" w:cs="Times New Roman"/>
                <w:color w:val="000000"/>
                <w:lang w:val="en-US"/>
              </w:rPr>
              <w:t>0.0605</w:t>
            </w:r>
          </w:p>
        </w:tc>
      </w:tr>
      <w:tr w:rsidR="00041534" w:rsidRPr="00FB61F3" w:rsidTr="008F0FA8">
        <w:trPr>
          <w:trHeight w:val="29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041534" w:rsidRDefault="00041534" w:rsidP="00372450">
            <w:pPr>
              <w:spacing w:after="0" w:line="240" w:lineRule="auto"/>
              <w:rPr>
                <w:rFonts w:ascii="Calibri" w:eastAsia="Times New Roman" w:hAnsi="Calibri" w:cs="Times New Roman"/>
                <w:b/>
                <w:bCs/>
                <w:color w:val="000000"/>
                <w:lang w:val="en-US"/>
              </w:rPr>
            </w:pPr>
            <w:r w:rsidRPr="00041534">
              <w:rPr>
                <w:rFonts w:ascii="Calibri" w:eastAsia="Times New Roman" w:hAnsi="Calibri" w:cs="Times New Roman"/>
                <w:b/>
                <w:bCs/>
                <w:color w:val="000000"/>
                <w:lang w:val="en-US"/>
              </w:rPr>
              <w:t>CV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8F0FA8">
            <w:pPr>
              <w:spacing w:after="0" w:line="240" w:lineRule="auto"/>
              <w:jc w:val="center"/>
              <w:rPr>
                <w:rFonts w:ascii="Calibri" w:eastAsia="Times New Roman" w:hAnsi="Calibri" w:cs="Times New Roman"/>
                <w:color w:val="000000"/>
                <w:lang w:val="en-US"/>
              </w:rPr>
            </w:pPr>
            <w:r w:rsidRPr="00FB61F3">
              <w:rPr>
                <w:rFonts w:ascii="Calibri" w:eastAsia="Times New Roman" w:hAnsi="Calibri" w:cs="Times New Roman"/>
                <w:color w:val="000000"/>
                <w:lang w:val="en-US"/>
              </w:rPr>
              <w:t>0.049489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8F0FA8">
            <w:pPr>
              <w:spacing w:after="0" w:line="240" w:lineRule="auto"/>
              <w:jc w:val="center"/>
              <w:rPr>
                <w:rFonts w:ascii="Calibri" w:eastAsia="Times New Roman" w:hAnsi="Calibri" w:cs="Times New Roman"/>
                <w:color w:val="000000"/>
                <w:lang w:val="en-US"/>
              </w:rPr>
            </w:pPr>
            <w:r w:rsidRPr="00FB61F3">
              <w:rPr>
                <w:rFonts w:ascii="Calibri" w:eastAsia="Times New Roman" w:hAnsi="Calibri" w:cs="Times New Roman"/>
                <w:color w:val="000000"/>
                <w:lang w:val="en-US"/>
              </w:rPr>
              <w:t>0.015112</w:t>
            </w:r>
          </w:p>
        </w:tc>
      </w:tr>
      <w:tr w:rsidR="00041534" w:rsidRPr="00FB61F3" w:rsidTr="008F0FA8">
        <w:trPr>
          <w:trHeight w:val="6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41534" w:rsidRPr="00041534" w:rsidRDefault="00041534" w:rsidP="00041534">
            <w:pPr>
              <w:spacing w:after="0" w:line="240" w:lineRule="auto"/>
              <w:rPr>
                <w:rFonts w:ascii="Calibri" w:eastAsia="Times New Roman" w:hAnsi="Calibri" w:cs="Times New Roman"/>
                <w:b/>
                <w:bCs/>
                <w:color w:val="000000"/>
                <w:lang w:val="en-US"/>
              </w:rPr>
            </w:pPr>
            <w:proofErr w:type="spellStart"/>
            <w:r>
              <w:rPr>
                <w:rFonts w:ascii="Calibri" w:eastAsia="Times New Roman" w:hAnsi="Calibri" w:cs="Times New Roman"/>
                <w:b/>
                <w:bCs/>
                <w:color w:val="000000"/>
                <w:lang w:val="en-US"/>
              </w:rPr>
              <w:t>Conc</w:t>
            </w:r>
            <w:proofErr w:type="spellEnd"/>
            <w:r>
              <w:rPr>
                <w:rFonts w:ascii="Calibri" w:eastAsia="Times New Roman" w:hAnsi="Calibri" w:cs="Times New Roman"/>
                <w:b/>
                <w:bCs/>
                <w:color w:val="000000"/>
                <w:lang w:val="en-US"/>
              </w:rPr>
              <w:t xml:space="preserve"> (</w:t>
            </w:r>
            <w:r w:rsidRPr="00041534">
              <w:rPr>
                <w:rFonts w:ascii="Symbol" w:eastAsia="Times New Roman" w:hAnsi="Symbol" w:cs="Times New Roman"/>
                <w:b/>
                <w:bCs/>
                <w:color w:val="000000"/>
                <w:lang w:val="en-US"/>
              </w:rPr>
              <w:t></w:t>
            </w:r>
            <w:r w:rsidRPr="00041534">
              <w:rPr>
                <w:rFonts w:ascii="Calibri" w:eastAsia="Times New Roman" w:hAnsi="Calibri" w:cs="Times New Roman"/>
                <w:b/>
                <w:bCs/>
                <w:color w:val="000000"/>
                <w:lang w:val="en-US"/>
              </w:rPr>
              <w:t>U/</w:t>
            </w:r>
            <w:proofErr w:type="spellStart"/>
            <w:r w:rsidRPr="00041534">
              <w:rPr>
                <w:rFonts w:ascii="Calibri" w:eastAsia="Times New Roman" w:hAnsi="Calibri" w:cs="Times New Roman"/>
                <w:b/>
                <w:bCs/>
                <w:color w:val="000000"/>
                <w:lang w:val="en-US"/>
              </w:rPr>
              <w:t>mL</w:t>
            </w:r>
            <w:proofErr w:type="spellEnd"/>
            <w:r w:rsidRPr="00041534">
              <w:rPr>
                <w:rFonts w:ascii="Calibri" w:eastAsia="Times New Roman" w:hAnsi="Calibri" w:cs="Times New Roman"/>
                <w:b/>
                <w:bCs/>
                <w:color w:val="00000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8F0FA8">
            <w:pPr>
              <w:jc w:val="center"/>
              <w:rPr>
                <w:rFonts w:ascii="Calibri" w:hAnsi="Calibri"/>
                <w:color w:val="000000"/>
              </w:rPr>
            </w:pPr>
            <w:r>
              <w:rPr>
                <w:rFonts w:ascii="Calibri" w:hAnsi="Calibri"/>
                <w:color w:val="000000"/>
              </w:rPr>
              <w:t>784.1451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8F0FA8">
            <w:pPr>
              <w:jc w:val="center"/>
              <w:rPr>
                <w:rFonts w:ascii="Calibri" w:hAnsi="Calibri"/>
                <w:color w:val="000000"/>
              </w:rPr>
            </w:pPr>
            <w:r>
              <w:rPr>
                <w:rFonts w:ascii="Calibri" w:hAnsi="Calibri"/>
                <w:color w:val="000000"/>
              </w:rPr>
              <w:t>2214.234</w:t>
            </w:r>
          </w:p>
        </w:tc>
      </w:tr>
    </w:tbl>
    <w:p w:rsidR="00041534" w:rsidRPr="00C67B33" w:rsidRDefault="00041534" w:rsidP="00041534">
      <w:pPr>
        <w:pStyle w:val="NoSpacing"/>
        <w:rPr>
          <w:sz w:val="24"/>
          <w:szCs w:val="24"/>
        </w:rPr>
      </w:pPr>
    </w:p>
    <w:p w:rsidR="008F0FA8" w:rsidRDefault="008F0FA8" w:rsidP="00AD1BDC">
      <w:pPr>
        <w:pStyle w:val="NoSpacing"/>
        <w:rPr>
          <w:sz w:val="24"/>
          <w:szCs w:val="24"/>
        </w:rPr>
      </w:pPr>
      <w:r>
        <w:rPr>
          <w:sz w:val="24"/>
          <w:szCs w:val="24"/>
        </w:rPr>
        <w:t xml:space="preserve">We don’t believe these results to be correct or accurate in any way since we could </w:t>
      </w:r>
      <w:r w:rsidR="00AD1BDC">
        <w:rPr>
          <w:sz w:val="24"/>
          <w:szCs w:val="24"/>
        </w:rPr>
        <w:t>not obtain a proper trend line.</w:t>
      </w:r>
    </w:p>
    <w:p w:rsidR="008F0FA8" w:rsidRDefault="008F0FA8" w:rsidP="00D771F6">
      <w:pPr>
        <w:pStyle w:val="NoSpacing"/>
        <w:rPr>
          <w:sz w:val="24"/>
          <w:szCs w:val="24"/>
        </w:rPr>
      </w:pPr>
    </w:p>
    <w:p w:rsidR="00041534" w:rsidRDefault="008F0FA8" w:rsidP="008F0FA8">
      <w:pPr>
        <w:rPr>
          <w:rFonts w:ascii="Calibri" w:eastAsia="Times New Roman" w:hAnsi="Calibri" w:cs="Times New Roman"/>
          <w:color w:val="000000"/>
          <w:lang w:val="en-US"/>
        </w:rPr>
      </w:pPr>
      <w:r>
        <w:t xml:space="preserve">However, we can still proceed with the data analysis by ignoring certain outlier points the deviate too much from a trend. We consequently omitted 4 concentration data points and kept the remaining 5 data points. We also subtracted the </w:t>
      </w:r>
      <w:r>
        <w:rPr>
          <w:i/>
          <w:iCs/>
        </w:rPr>
        <w:t>lowest</w:t>
      </w:r>
      <w:r>
        <w:t xml:space="preserve"> data point in the set of blank standards from the 5 sample data points to avoid negative results. The chart below shows the graph obtained after such excessive data manipulation</w:t>
      </w:r>
      <w:r>
        <w:rPr>
          <w:rFonts w:ascii="Calibri" w:eastAsia="Times New Roman" w:hAnsi="Calibri" w:cs="Times New Roman"/>
          <w:color w:val="000000"/>
          <w:lang w:val="en-US"/>
        </w:rPr>
        <w:t>:</w:t>
      </w:r>
    </w:p>
    <w:p w:rsidR="00041534" w:rsidRDefault="00041534" w:rsidP="00041534">
      <w:pPr>
        <w:rPr>
          <w:rFonts w:ascii="Calibri" w:eastAsia="Times New Roman" w:hAnsi="Calibri" w:cs="Times New Roman"/>
          <w:color w:val="000000"/>
          <w:lang w:val="en-US"/>
        </w:rPr>
      </w:pPr>
      <w:r w:rsidRPr="007F1ABE">
        <w:rPr>
          <w:rFonts w:ascii="Calibri" w:eastAsia="Times New Roman" w:hAnsi="Calibri" w:cs="Times New Roman"/>
          <w:noProof/>
          <w:color w:val="000000"/>
          <w:lang w:eastAsia="en-CA"/>
        </w:rPr>
        <w:drawing>
          <wp:inline distT="0" distB="0" distL="0" distR="0">
            <wp:extent cx="5314950" cy="2790825"/>
            <wp:effectExtent l="19050" t="0" r="1905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0FA8" w:rsidRDefault="008F0FA8" w:rsidP="005A2658">
      <w:pPr>
        <w:pStyle w:val="NoSpacing"/>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This chart has a better-looking trend line with fewer outlier data points. The slope of the trend line</w:t>
      </w:r>
      <w:r w:rsidR="005A2658">
        <w:rPr>
          <w:rFonts w:ascii="Calibri" w:eastAsia="Times New Roman" w:hAnsi="Calibri" w:cs="Times New Roman"/>
          <w:color w:val="000000"/>
          <w:sz w:val="24"/>
          <w:szCs w:val="24"/>
          <w:lang w:val="en-US"/>
        </w:rPr>
        <w:t xml:space="preserve"> was found to be 0.0101. Using this slope, we can now proceed to fit the data to the </w:t>
      </w:r>
      <w:r w:rsidR="00AD1BDC">
        <w:rPr>
          <w:rFonts w:ascii="Calibri" w:eastAsia="Times New Roman" w:hAnsi="Calibri" w:cs="Times New Roman"/>
          <w:color w:val="000000"/>
          <w:sz w:val="24"/>
          <w:szCs w:val="24"/>
          <w:lang w:val="en-US"/>
        </w:rPr>
        <w:t xml:space="preserve">ELISA </w:t>
      </w:r>
      <w:r w:rsidR="005A2658">
        <w:rPr>
          <w:rFonts w:ascii="Calibri" w:eastAsia="Times New Roman" w:hAnsi="Calibri" w:cs="Times New Roman"/>
          <w:color w:val="000000"/>
          <w:sz w:val="24"/>
          <w:szCs w:val="24"/>
          <w:lang w:val="en-US"/>
        </w:rPr>
        <w:t>model and obtain the following values for mean, standard deviation and CV:</w:t>
      </w:r>
    </w:p>
    <w:p w:rsidR="00041534" w:rsidRDefault="00041534" w:rsidP="00041534">
      <w:pPr>
        <w:pStyle w:val="NoSpacing"/>
        <w:rPr>
          <w:rFonts w:ascii="Calibri" w:eastAsia="Times New Roman" w:hAnsi="Calibri" w:cs="Times New Roman"/>
          <w:color w:val="000000"/>
          <w:lang w:val="en-US"/>
        </w:rPr>
      </w:pPr>
    </w:p>
    <w:tbl>
      <w:tblPr>
        <w:tblW w:w="0" w:type="auto"/>
        <w:tblInd w:w="93" w:type="dxa"/>
        <w:tblLook w:val="04A0"/>
      </w:tblPr>
      <w:tblGrid>
        <w:gridCol w:w="2566"/>
        <w:gridCol w:w="1861"/>
        <w:gridCol w:w="2038"/>
      </w:tblGrid>
      <w:tr w:rsidR="00041534" w:rsidRPr="00FB61F3" w:rsidTr="00D771F6">
        <w:trPr>
          <w:trHeight w:val="315"/>
        </w:trPr>
        <w:tc>
          <w:tcPr>
            <w:tcW w:w="0" w:type="auto"/>
            <w:tcBorders>
              <w:top w:val="nil"/>
              <w:left w:val="nil"/>
              <w:bottom w:val="nil"/>
              <w:right w:val="single" w:sz="4" w:space="0" w:color="auto"/>
            </w:tcBorders>
            <w:shd w:val="clear" w:color="auto" w:fill="auto"/>
            <w:noWrap/>
            <w:vAlign w:val="bottom"/>
            <w:hideMark/>
          </w:tcPr>
          <w:p w:rsidR="00041534" w:rsidRPr="00FB61F3" w:rsidRDefault="00041534" w:rsidP="00372450">
            <w:pPr>
              <w:spacing w:after="0" w:line="240" w:lineRule="auto"/>
              <w:rPr>
                <w:rFonts w:ascii="Calibri" w:eastAsia="Times New Roman" w:hAnsi="Calibri" w:cs="Times New Roman"/>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D771F6" w:rsidRDefault="00041534" w:rsidP="00372450">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Group 7  Sample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D771F6" w:rsidRDefault="00041534" w:rsidP="00372450">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Group 7 Unknown</w:t>
            </w:r>
          </w:p>
        </w:tc>
      </w:tr>
      <w:tr w:rsidR="00041534" w:rsidRPr="00FB61F3" w:rsidTr="00D771F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D771F6" w:rsidRDefault="00041534" w:rsidP="00372450">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Mean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372450">
            <w:pPr>
              <w:spacing w:after="0" w:line="240" w:lineRule="auto"/>
              <w:jc w:val="right"/>
              <w:rPr>
                <w:rFonts w:ascii="Calibri" w:eastAsia="Times New Roman" w:hAnsi="Calibri" w:cs="Times New Roman"/>
                <w:color w:val="000000"/>
                <w:lang w:val="en-US"/>
              </w:rPr>
            </w:pPr>
            <w:r w:rsidRPr="00FB61F3">
              <w:rPr>
                <w:rFonts w:ascii="Calibri" w:eastAsia="Times New Roman" w:hAnsi="Calibri" w:cs="Times New Roman"/>
                <w:color w:val="000000"/>
                <w:lang w:val="en-US"/>
              </w:rPr>
              <w:t>1.2225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1534" w:rsidRPr="00FB61F3" w:rsidRDefault="00041534" w:rsidP="00372450">
            <w:pPr>
              <w:spacing w:after="0" w:line="240" w:lineRule="auto"/>
              <w:jc w:val="right"/>
              <w:rPr>
                <w:rFonts w:ascii="Calibri" w:eastAsia="Times New Roman" w:hAnsi="Calibri" w:cs="Times New Roman"/>
                <w:color w:val="000000"/>
                <w:lang w:val="en-US"/>
              </w:rPr>
            </w:pPr>
            <w:r w:rsidRPr="00FB61F3">
              <w:rPr>
                <w:rFonts w:ascii="Calibri" w:eastAsia="Times New Roman" w:hAnsi="Calibri" w:cs="Times New Roman"/>
                <w:color w:val="000000"/>
                <w:lang w:val="en-US"/>
              </w:rPr>
              <w:t>4.0035</w:t>
            </w:r>
          </w:p>
        </w:tc>
      </w:tr>
      <w:tr w:rsidR="00041534" w:rsidRPr="00FB61F3" w:rsidTr="00D771F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1534" w:rsidRPr="00D771F6" w:rsidRDefault="00041534" w:rsidP="00372450">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STDEVP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372450">
            <w:pPr>
              <w:spacing w:after="0" w:line="240" w:lineRule="auto"/>
              <w:jc w:val="right"/>
              <w:rPr>
                <w:rFonts w:ascii="Calibri" w:eastAsia="Times New Roman" w:hAnsi="Calibri" w:cs="Times New Roman"/>
                <w:color w:val="000000"/>
                <w:lang w:val="en-US"/>
              </w:rPr>
            </w:pPr>
            <w:r w:rsidRPr="00FB61F3">
              <w:rPr>
                <w:rFonts w:ascii="Calibri" w:eastAsia="Times New Roman" w:hAnsi="Calibri" w:cs="Times New Roman"/>
                <w:color w:val="000000"/>
                <w:lang w:val="en-US"/>
              </w:rPr>
              <w:t>0.0605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41534" w:rsidRPr="00FB61F3" w:rsidRDefault="00041534" w:rsidP="00372450">
            <w:pPr>
              <w:spacing w:after="0" w:line="240" w:lineRule="auto"/>
              <w:jc w:val="right"/>
              <w:rPr>
                <w:rFonts w:ascii="Calibri" w:eastAsia="Times New Roman" w:hAnsi="Calibri" w:cs="Times New Roman"/>
                <w:color w:val="000000"/>
                <w:lang w:val="en-US"/>
              </w:rPr>
            </w:pPr>
            <w:r w:rsidRPr="00FB61F3">
              <w:rPr>
                <w:rFonts w:ascii="Calibri" w:eastAsia="Times New Roman" w:hAnsi="Calibri" w:cs="Times New Roman"/>
                <w:color w:val="000000"/>
                <w:lang w:val="en-US"/>
              </w:rPr>
              <w:t>0.0605</w:t>
            </w:r>
          </w:p>
        </w:tc>
      </w:tr>
      <w:tr w:rsidR="00041534" w:rsidRPr="00FB61F3" w:rsidTr="00D771F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D771F6" w:rsidRDefault="00041534" w:rsidP="00372450">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CV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372450">
            <w:pPr>
              <w:spacing w:after="0" w:line="240" w:lineRule="auto"/>
              <w:jc w:val="right"/>
              <w:rPr>
                <w:rFonts w:ascii="Calibri" w:eastAsia="Times New Roman" w:hAnsi="Calibri" w:cs="Times New Roman"/>
                <w:color w:val="000000"/>
                <w:lang w:val="en-US"/>
              </w:rPr>
            </w:pPr>
            <w:r w:rsidRPr="00FB61F3">
              <w:rPr>
                <w:rFonts w:ascii="Calibri" w:eastAsia="Times New Roman" w:hAnsi="Calibri" w:cs="Times New Roman"/>
                <w:color w:val="000000"/>
                <w:lang w:val="en-US"/>
              </w:rPr>
              <w:t>0.049489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FB61F3" w:rsidRDefault="00041534" w:rsidP="00372450">
            <w:pPr>
              <w:spacing w:after="0" w:line="240" w:lineRule="auto"/>
              <w:jc w:val="right"/>
              <w:rPr>
                <w:rFonts w:ascii="Calibri" w:eastAsia="Times New Roman" w:hAnsi="Calibri" w:cs="Times New Roman"/>
                <w:color w:val="000000"/>
                <w:lang w:val="en-US"/>
              </w:rPr>
            </w:pPr>
            <w:r w:rsidRPr="00FB61F3">
              <w:rPr>
                <w:rFonts w:ascii="Calibri" w:eastAsia="Times New Roman" w:hAnsi="Calibri" w:cs="Times New Roman"/>
                <w:color w:val="000000"/>
                <w:lang w:val="en-US"/>
              </w:rPr>
              <w:t>0.015112</w:t>
            </w:r>
          </w:p>
        </w:tc>
      </w:tr>
      <w:tr w:rsidR="00041534" w:rsidTr="00D771F6">
        <w:trPr>
          <w:trHeight w:val="266"/>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41534" w:rsidRPr="00D771F6" w:rsidRDefault="005A2658" w:rsidP="00D771F6">
            <w:pPr>
              <w:spacing w:after="0" w:line="240" w:lineRule="auto"/>
              <w:rPr>
                <w:rFonts w:ascii="Calibri" w:eastAsia="Times New Roman" w:hAnsi="Calibri" w:cs="Times New Roman"/>
                <w:b/>
                <w:bCs/>
                <w:color w:val="000000"/>
                <w:lang w:val="en-US"/>
              </w:rPr>
            </w:pPr>
            <w:proofErr w:type="spellStart"/>
            <w:r>
              <w:rPr>
                <w:rFonts w:ascii="Calibri" w:eastAsia="Times New Roman" w:hAnsi="Calibri" w:cs="Times New Roman"/>
                <w:b/>
                <w:bCs/>
                <w:color w:val="000000"/>
                <w:lang w:val="en-US"/>
              </w:rPr>
              <w:t>Conc</w:t>
            </w:r>
            <w:proofErr w:type="spellEnd"/>
            <w:r>
              <w:rPr>
                <w:rFonts w:ascii="Calibri" w:eastAsia="Times New Roman" w:hAnsi="Calibri" w:cs="Times New Roman"/>
                <w:b/>
                <w:bCs/>
                <w:color w:val="000000"/>
                <w:lang w:val="en-US"/>
              </w:rPr>
              <w:t xml:space="preserve"> (</w:t>
            </w:r>
            <w:r w:rsidRPr="005A2658">
              <w:rPr>
                <w:rFonts w:ascii="Symbol" w:eastAsia="Times New Roman" w:hAnsi="Symbol" w:cs="Times New Roman"/>
                <w:b/>
                <w:bCs/>
                <w:color w:val="000000"/>
                <w:lang w:val="en-US"/>
              </w:rPr>
              <w:t></w:t>
            </w:r>
            <w:r w:rsidR="00041534" w:rsidRPr="00D771F6">
              <w:rPr>
                <w:rFonts w:ascii="Calibri" w:eastAsia="Times New Roman" w:hAnsi="Calibri" w:cs="Times New Roman"/>
                <w:b/>
                <w:bCs/>
                <w:color w:val="000000"/>
                <w:lang w:val="en-US"/>
              </w:rPr>
              <w:t>U/</w:t>
            </w:r>
            <w:proofErr w:type="spellStart"/>
            <w:r w:rsidR="00041534" w:rsidRPr="00D771F6">
              <w:rPr>
                <w:rFonts w:ascii="Calibri" w:eastAsia="Times New Roman" w:hAnsi="Calibri" w:cs="Times New Roman"/>
                <w:b/>
                <w:bCs/>
                <w:color w:val="000000"/>
                <w:lang w:val="en-US"/>
              </w:rPr>
              <w:t>mL</w:t>
            </w:r>
            <w:proofErr w:type="spellEnd"/>
            <w:r w:rsidR="00041534" w:rsidRPr="00D771F6">
              <w:rPr>
                <w:rFonts w:ascii="Calibri" w:eastAsia="Times New Roman" w:hAnsi="Calibri" w:cs="Times New Roman"/>
                <w:b/>
                <w:bCs/>
                <w:color w:val="00000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784.1451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2214.234</w:t>
            </w:r>
          </w:p>
        </w:tc>
      </w:tr>
      <w:tr w:rsidR="00041534" w:rsidTr="00D771F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41534" w:rsidRPr="00D771F6" w:rsidRDefault="005A2658" w:rsidP="00D771F6">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lastRenderedPageBreak/>
              <w:t xml:space="preserve">Modified </w:t>
            </w:r>
            <w:proofErr w:type="spellStart"/>
            <w:r>
              <w:rPr>
                <w:rFonts w:ascii="Calibri" w:eastAsia="Times New Roman" w:hAnsi="Calibri" w:cs="Times New Roman"/>
                <w:b/>
                <w:bCs/>
                <w:color w:val="000000"/>
                <w:lang w:val="en-US"/>
              </w:rPr>
              <w:t>Conc</w:t>
            </w:r>
            <w:proofErr w:type="spellEnd"/>
            <w:r>
              <w:rPr>
                <w:rFonts w:ascii="Calibri" w:eastAsia="Times New Roman" w:hAnsi="Calibri" w:cs="Times New Roman"/>
                <w:b/>
                <w:bCs/>
                <w:color w:val="000000"/>
                <w:lang w:val="en-US"/>
              </w:rPr>
              <w:t xml:space="preserve"> (</w:t>
            </w:r>
            <w:r w:rsidRPr="005A2658">
              <w:rPr>
                <w:rFonts w:ascii="Symbol" w:eastAsia="Times New Roman" w:hAnsi="Symbol" w:cs="Times New Roman"/>
                <w:b/>
                <w:bCs/>
                <w:color w:val="000000"/>
                <w:lang w:val="en-US"/>
              </w:rPr>
              <w:t></w:t>
            </w:r>
            <w:r w:rsidR="00041534" w:rsidRPr="00D771F6">
              <w:rPr>
                <w:rFonts w:ascii="Calibri" w:eastAsia="Times New Roman" w:hAnsi="Calibri" w:cs="Times New Roman"/>
                <w:b/>
                <w:bCs/>
                <w:color w:val="000000"/>
                <w:lang w:val="en-US"/>
              </w:rPr>
              <w:t>U/</w:t>
            </w:r>
            <w:proofErr w:type="spellStart"/>
            <w:r w:rsidR="00041534" w:rsidRPr="00D771F6">
              <w:rPr>
                <w:rFonts w:ascii="Calibri" w:eastAsia="Times New Roman" w:hAnsi="Calibri" w:cs="Times New Roman"/>
                <w:b/>
                <w:bCs/>
                <w:color w:val="000000"/>
                <w:lang w:val="en-US"/>
              </w:rPr>
              <w:t>mL</w:t>
            </w:r>
            <w:proofErr w:type="spellEnd"/>
            <w:r w:rsidR="00041534" w:rsidRPr="00D771F6">
              <w:rPr>
                <w:rFonts w:ascii="Calibri" w:eastAsia="Times New Roman" w:hAnsi="Calibri" w:cs="Times New Roman"/>
                <w:b/>
                <w:bCs/>
                <w:color w:val="00000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120.5668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394.8377</w:t>
            </w:r>
          </w:p>
        </w:tc>
      </w:tr>
    </w:tbl>
    <w:p w:rsidR="00041534" w:rsidRDefault="00041534" w:rsidP="00041534">
      <w:pPr>
        <w:pStyle w:val="NoSpacing"/>
      </w:pPr>
    </w:p>
    <w:p w:rsidR="005A2658" w:rsidRDefault="005A2658" w:rsidP="005A2658">
      <w:pPr>
        <w:pStyle w:val="NoSpacing"/>
        <w:rPr>
          <w:sz w:val="24"/>
          <w:szCs w:val="24"/>
        </w:rPr>
      </w:pPr>
      <w:r>
        <w:rPr>
          <w:sz w:val="24"/>
          <w:szCs w:val="24"/>
        </w:rPr>
        <w:t>These results are probably incorrect due to the heavy data manipulation explained in the previous paragraphs. However, if the experiment is repeated, the new numbers can simply be plugged into this model and the same steps can be followed to obtain more realistic results.</w:t>
      </w:r>
    </w:p>
    <w:p w:rsidR="005A2658" w:rsidRDefault="005A2658" w:rsidP="00041534">
      <w:pPr>
        <w:pStyle w:val="NoSpacing"/>
        <w:rPr>
          <w:sz w:val="24"/>
          <w:szCs w:val="24"/>
        </w:rPr>
      </w:pPr>
    </w:p>
    <w:p w:rsidR="00041534" w:rsidRPr="00D771F6" w:rsidRDefault="00041534" w:rsidP="005A2658">
      <w:pPr>
        <w:rPr>
          <w:szCs w:val="24"/>
        </w:rPr>
      </w:pPr>
      <w:r w:rsidRPr="00D771F6">
        <w:rPr>
          <w:szCs w:val="24"/>
        </w:rPr>
        <w:t>To convert concentration values</w:t>
      </w:r>
      <w:r w:rsidR="005A2658">
        <w:rPr>
          <w:szCs w:val="24"/>
        </w:rPr>
        <w:t xml:space="preserve"> from </w:t>
      </w:r>
      <w:proofErr w:type="spellStart"/>
      <w:r w:rsidR="005A2658">
        <w:rPr>
          <w:szCs w:val="24"/>
        </w:rPr>
        <w:t>uU</w:t>
      </w:r>
      <w:proofErr w:type="spellEnd"/>
      <w:r w:rsidR="005A2658">
        <w:rPr>
          <w:szCs w:val="24"/>
        </w:rPr>
        <w:t>/</w:t>
      </w:r>
      <w:proofErr w:type="spellStart"/>
      <w:r w:rsidR="005A2658">
        <w:rPr>
          <w:szCs w:val="24"/>
        </w:rPr>
        <w:t>mL</w:t>
      </w:r>
      <w:proofErr w:type="spellEnd"/>
      <w:r w:rsidR="005A2658">
        <w:rPr>
          <w:szCs w:val="24"/>
        </w:rPr>
        <w:t xml:space="preserve"> to </w:t>
      </w:r>
      <w:r w:rsidR="005A2658" w:rsidRPr="005A2658">
        <w:rPr>
          <w:rFonts w:ascii="Symbol" w:hAnsi="Symbol"/>
          <w:szCs w:val="24"/>
        </w:rPr>
        <w:t></w:t>
      </w:r>
      <w:r w:rsidR="005A2658">
        <w:rPr>
          <w:szCs w:val="24"/>
        </w:rPr>
        <w:t>g/</w:t>
      </w:r>
      <w:proofErr w:type="spellStart"/>
      <w:r w:rsidR="005A2658">
        <w:rPr>
          <w:szCs w:val="24"/>
        </w:rPr>
        <w:t>mL</w:t>
      </w:r>
      <w:proofErr w:type="spellEnd"/>
      <w:r w:rsidR="005A2658">
        <w:rPr>
          <w:szCs w:val="24"/>
        </w:rPr>
        <w:t>, we use the fact that 1</w:t>
      </w:r>
      <w:r w:rsidR="005A2658" w:rsidRPr="005A2658">
        <w:rPr>
          <w:rFonts w:ascii="Symbol" w:hAnsi="Symbol"/>
          <w:szCs w:val="24"/>
        </w:rPr>
        <w:t></w:t>
      </w:r>
      <w:r w:rsidR="005A2658">
        <w:rPr>
          <w:szCs w:val="24"/>
        </w:rPr>
        <w:t>U/</w:t>
      </w:r>
      <w:proofErr w:type="spellStart"/>
      <w:r w:rsidR="005A2658">
        <w:rPr>
          <w:szCs w:val="24"/>
        </w:rPr>
        <w:t>mL</w:t>
      </w:r>
      <w:proofErr w:type="spellEnd"/>
      <w:r w:rsidR="005A2658">
        <w:rPr>
          <w:szCs w:val="24"/>
        </w:rPr>
        <w:t xml:space="preserve"> = 35 pg/ml or 35E-6 </w:t>
      </w:r>
      <w:r w:rsidR="005A2658" w:rsidRPr="005A2658">
        <w:rPr>
          <w:rFonts w:ascii="Symbol" w:hAnsi="Symbol"/>
          <w:szCs w:val="24"/>
        </w:rPr>
        <w:t></w:t>
      </w:r>
      <w:r w:rsidRPr="00D771F6">
        <w:rPr>
          <w:szCs w:val="24"/>
        </w:rPr>
        <w:t>g/ml.</w:t>
      </w:r>
      <w:r w:rsidR="005A2658">
        <w:rPr>
          <w:szCs w:val="24"/>
        </w:rPr>
        <w:t xml:space="preserve"> Thus the concentrations in units of </w:t>
      </w:r>
      <w:r w:rsidR="005A2658" w:rsidRPr="005A2658">
        <w:rPr>
          <w:rFonts w:ascii="Symbol" w:hAnsi="Symbol"/>
          <w:szCs w:val="24"/>
        </w:rPr>
        <w:t></w:t>
      </w:r>
      <w:r w:rsidR="005A2658">
        <w:rPr>
          <w:szCs w:val="24"/>
        </w:rPr>
        <w:t>g/</w:t>
      </w:r>
      <w:proofErr w:type="spellStart"/>
      <w:r w:rsidR="005A2658">
        <w:rPr>
          <w:szCs w:val="24"/>
        </w:rPr>
        <w:t>mL</w:t>
      </w:r>
      <w:proofErr w:type="spellEnd"/>
      <w:r w:rsidR="005A2658">
        <w:rPr>
          <w:szCs w:val="24"/>
        </w:rPr>
        <w:t xml:space="preserve"> are as follows: </w:t>
      </w:r>
    </w:p>
    <w:tbl>
      <w:tblPr>
        <w:tblW w:w="0" w:type="auto"/>
        <w:tblInd w:w="93" w:type="dxa"/>
        <w:tblLook w:val="04A0"/>
      </w:tblPr>
      <w:tblGrid>
        <w:gridCol w:w="2513"/>
        <w:gridCol w:w="1861"/>
        <w:gridCol w:w="2038"/>
      </w:tblGrid>
      <w:tr w:rsidR="00041534" w:rsidRPr="00FB61F3" w:rsidTr="00D771F6">
        <w:trPr>
          <w:trHeight w:val="315"/>
        </w:trPr>
        <w:tc>
          <w:tcPr>
            <w:tcW w:w="0" w:type="auto"/>
            <w:tcBorders>
              <w:top w:val="nil"/>
              <w:left w:val="nil"/>
              <w:bottom w:val="nil"/>
              <w:right w:val="single" w:sz="4" w:space="0" w:color="auto"/>
            </w:tcBorders>
            <w:shd w:val="clear" w:color="auto" w:fill="auto"/>
            <w:noWrap/>
            <w:vAlign w:val="bottom"/>
            <w:hideMark/>
          </w:tcPr>
          <w:p w:rsidR="00041534" w:rsidRPr="00FB61F3" w:rsidRDefault="00041534" w:rsidP="00372450">
            <w:pPr>
              <w:spacing w:after="0" w:line="240" w:lineRule="auto"/>
              <w:rPr>
                <w:rFonts w:ascii="Calibri" w:eastAsia="Times New Roman" w:hAnsi="Calibri" w:cs="Times New Roman"/>
                <w:color w:val="00000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D771F6" w:rsidRDefault="00041534" w:rsidP="00372450">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Group 7  Sample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Pr="00D771F6" w:rsidRDefault="00041534" w:rsidP="00372450">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Group 7 Unknown</w:t>
            </w:r>
          </w:p>
        </w:tc>
      </w:tr>
      <w:tr w:rsidR="00041534" w:rsidTr="00D771F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41534" w:rsidRPr="00D771F6" w:rsidRDefault="00041534" w:rsidP="00D771F6">
            <w:pPr>
              <w:spacing w:after="0" w:line="240" w:lineRule="auto"/>
              <w:rPr>
                <w:rFonts w:ascii="Calibri" w:eastAsia="Times New Roman" w:hAnsi="Calibri" w:cs="Times New Roman"/>
                <w:b/>
                <w:bCs/>
                <w:color w:val="000000"/>
                <w:lang w:val="en-US"/>
              </w:rPr>
            </w:pPr>
            <w:proofErr w:type="spellStart"/>
            <w:r w:rsidRPr="00D771F6">
              <w:rPr>
                <w:rFonts w:ascii="Calibri" w:eastAsia="Times New Roman" w:hAnsi="Calibri" w:cs="Times New Roman"/>
                <w:b/>
                <w:bCs/>
                <w:color w:val="000000"/>
                <w:lang w:val="en-US"/>
              </w:rPr>
              <w:t>Conc</w:t>
            </w:r>
            <w:proofErr w:type="spellEnd"/>
            <w:r w:rsidRPr="00D771F6">
              <w:rPr>
                <w:rFonts w:ascii="Calibri" w:eastAsia="Times New Roman" w:hAnsi="Calibri" w:cs="Times New Roman"/>
                <w:b/>
                <w:bCs/>
                <w:color w:val="000000"/>
                <w:lang w:val="en-US"/>
              </w:rPr>
              <w:t xml:space="preserve"> (</w:t>
            </w:r>
            <w:proofErr w:type="spellStart"/>
            <w:r w:rsidRPr="00D771F6">
              <w:rPr>
                <w:rFonts w:ascii="Calibri" w:eastAsia="Times New Roman" w:hAnsi="Calibri" w:cs="Times New Roman"/>
                <w:b/>
                <w:bCs/>
                <w:color w:val="000000"/>
                <w:lang w:val="en-US"/>
              </w:rPr>
              <w:t>ug</w:t>
            </w:r>
            <w:proofErr w:type="spellEnd"/>
            <w:r w:rsidRPr="00D771F6">
              <w:rPr>
                <w:rFonts w:ascii="Calibri" w:eastAsia="Times New Roman" w:hAnsi="Calibri" w:cs="Times New Roman"/>
                <w:b/>
                <w:bCs/>
                <w:color w:val="000000"/>
                <w:lang w:val="en-US"/>
              </w:rPr>
              <w:t>/</w:t>
            </w:r>
            <w:proofErr w:type="spellStart"/>
            <w:r w:rsidRPr="00D771F6">
              <w:rPr>
                <w:rFonts w:ascii="Calibri" w:eastAsia="Times New Roman" w:hAnsi="Calibri" w:cs="Times New Roman"/>
                <w:b/>
                <w:bCs/>
                <w:color w:val="000000"/>
                <w:lang w:val="en-US"/>
              </w:rPr>
              <w:t>mL</w:t>
            </w:r>
            <w:proofErr w:type="spellEnd"/>
            <w:r w:rsidRPr="00D771F6">
              <w:rPr>
                <w:rFonts w:ascii="Calibri" w:eastAsia="Times New Roman" w:hAnsi="Calibri" w:cs="Times New Roman"/>
                <w:b/>
                <w:bCs/>
                <w:color w:val="00000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0.027445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0.077498</w:t>
            </w:r>
          </w:p>
        </w:tc>
      </w:tr>
      <w:tr w:rsidR="00041534" w:rsidTr="00D771F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41534" w:rsidRPr="00D771F6" w:rsidRDefault="00041534" w:rsidP="00D771F6">
            <w:pPr>
              <w:spacing w:after="0" w:line="240" w:lineRule="auto"/>
              <w:rPr>
                <w:rFonts w:ascii="Calibri" w:eastAsia="Times New Roman" w:hAnsi="Calibri" w:cs="Times New Roman"/>
                <w:b/>
                <w:bCs/>
                <w:color w:val="000000"/>
                <w:lang w:val="en-US"/>
              </w:rPr>
            </w:pPr>
            <w:r w:rsidRPr="00D771F6">
              <w:rPr>
                <w:rFonts w:ascii="Calibri" w:eastAsia="Times New Roman" w:hAnsi="Calibri" w:cs="Times New Roman"/>
                <w:b/>
                <w:bCs/>
                <w:color w:val="000000"/>
                <w:lang w:val="en-US"/>
              </w:rPr>
              <w:t xml:space="preserve">Modified </w:t>
            </w:r>
            <w:proofErr w:type="spellStart"/>
            <w:r w:rsidRPr="00D771F6">
              <w:rPr>
                <w:rFonts w:ascii="Calibri" w:eastAsia="Times New Roman" w:hAnsi="Calibri" w:cs="Times New Roman"/>
                <w:b/>
                <w:bCs/>
                <w:color w:val="000000"/>
                <w:lang w:val="en-US"/>
              </w:rPr>
              <w:t>Conc</w:t>
            </w:r>
            <w:proofErr w:type="spellEnd"/>
            <w:r w:rsidRPr="00D771F6">
              <w:rPr>
                <w:rFonts w:ascii="Calibri" w:eastAsia="Times New Roman" w:hAnsi="Calibri" w:cs="Times New Roman"/>
                <w:b/>
                <w:bCs/>
                <w:color w:val="000000"/>
                <w:lang w:val="en-US"/>
              </w:rPr>
              <w:t xml:space="preserve"> (</w:t>
            </w:r>
            <w:proofErr w:type="spellStart"/>
            <w:r w:rsidRPr="00D771F6">
              <w:rPr>
                <w:rFonts w:ascii="Calibri" w:eastAsia="Times New Roman" w:hAnsi="Calibri" w:cs="Times New Roman"/>
                <w:b/>
                <w:bCs/>
                <w:color w:val="000000"/>
                <w:lang w:val="en-US"/>
              </w:rPr>
              <w:t>ug</w:t>
            </w:r>
            <w:proofErr w:type="spellEnd"/>
            <w:r w:rsidRPr="00D771F6">
              <w:rPr>
                <w:rFonts w:ascii="Calibri" w:eastAsia="Times New Roman" w:hAnsi="Calibri" w:cs="Times New Roman"/>
                <w:b/>
                <w:bCs/>
                <w:color w:val="000000"/>
                <w:lang w:val="en-US"/>
              </w:rPr>
              <w:t>/</w:t>
            </w:r>
            <w:proofErr w:type="spellStart"/>
            <w:r w:rsidRPr="00D771F6">
              <w:rPr>
                <w:rFonts w:ascii="Calibri" w:eastAsia="Times New Roman" w:hAnsi="Calibri" w:cs="Times New Roman"/>
                <w:b/>
                <w:bCs/>
                <w:color w:val="000000"/>
                <w:lang w:val="en-US"/>
              </w:rPr>
              <w:t>mL</w:t>
            </w:r>
            <w:proofErr w:type="spellEnd"/>
            <w:r w:rsidRPr="00D771F6">
              <w:rPr>
                <w:rFonts w:ascii="Calibri" w:eastAsia="Times New Roman" w:hAnsi="Calibri" w:cs="Times New Roman"/>
                <w:b/>
                <w:bCs/>
                <w:color w:val="00000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0.00422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34" w:rsidRDefault="00041534" w:rsidP="00372450">
            <w:pPr>
              <w:jc w:val="right"/>
              <w:rPr>
                <w:rFonts w:ascii="Calibri" w:hAnsi="Calibri"/>
                <w:color w:val="000000"/>
              </w:rPr>
            </w:pPr>
            <w:r>
              <w:rPr>
                <w:rFonts w:ascii="Calibri" w:hAnsi="Calibri"/>
                <w:color w:val="000000"/>
              </w:rPr>
              <w:t>0.013819</w:t>
            </w:r>
          </w:p>
        </w:tc>
      </w:tr>
    </w:tbl>
    <w:p w:rsidR="00041534" w:rsidRDefault="00041534" w:rsidP="00041534">
      <w:pPr>
        <w:pStyle w:val="NoSpacing"/>
      </w:pPr>
      <w:r>
        <w:t xml:space="preserve"> </w:t>
      </w:r>
    </w:p>
    <w:p w:rsidR="00AD1BDC" w:rsidRDefault="00AD1BDC" w:rsidP="00AD1BDC">
      <w:pPr>
        <w:pStyle w:val="NoSpacing"/>
        <w:rPr>
          <w:sz w:val="24"/>
          <w:szCs w:val="24"/>
        </w:rPr>
      </w:pPr>
      <w:r>
        <w:rPr>
          <w:sz w:val="24"/>
          <w:szCs w:val="24"/>
        </w:rPr>
        <w:t xml:space="preserve">Do these ELISA </w:t>
      </w:r>
      <w:r w:rsidR="005A2658">
        <w:rPr>
          <w:sz w:val="24"/>
          <w:szCs w:val="24"/>
        </w:rPr>
        <w:t>result</w:t>
      </w:r>
      <w:r>
        <w:rPr>
          <w:sz w:val="24"/>
          <w:szCs w:val="24"/>
        </w:rPr>
        <w:t>s</w:t>
      </w:r>
      <w:r w:rsidR="005A2658">
        <w:rPr>
          <w:sz w:val="24"/>
          <w:szCs w:val="24"/>
        </w:rPr>
        <w:t xml:space="preserve"> match up with what was expected?</w:t>
      </w:r>
      <w:r>
        <w:rPr>
          <w:sz w:val="24"/>
          <w:szCs w:val="24"/>
        </w:rPr>
        <w:t xml:space="preserve"> No, the results do not match up with what was expected at all. We expected fewer outliers, and even the outliers were expected to not deviate from the trend </w:t>
      </w:r>
      <w:r w:rsidRPr="00AD1BDC">
        <w:rPr>
          <w:i/>
          <w:iCs/>
          <w:sz w:val="24"/>
          <w:szCs w:val="24"/>
        </w:rPr>
        <w:t>that</w:t>
      </w:r>
      <w:r>
        <w:rPr>
          <w:sz w:val="24"/>
          <w:szCs w:val="24"/>
        </w:rPr>
        <w:t xml:space="preserve"> much. We expected more linearity in the trend between absorbance values and concentration. This was however not the case with our results. </w:t>
      </w:r>
    </w:p>
    <w:p w:rsidR="00AD1BDC" w:rsidRDefault="00AD1BDC" w:rsidP="00AD1BDC">
      <w:pPr>
        <w:pStyle w:val="NoSpacing"/>
        <w:rPr>
          <w:sz w:val="24"/>
          <w:szCs w:val="24"/>
        </w:rPr>
      </w:pPr>
    </w:p>
    <w:p w:rsidR="00AD1BDC" w:rsidRDefault="00AD1BDC" w:rsidP="00AD1BDC">
      <w:pPr>
        <w:pStyle w:val="NoSpacing"/>
        <w:rPr>
          <w:sz w:val="24"/>
          <w:szCs w:val="24"/>
        </w:rPr>
      </w:pPr>
      <w:r>
        <w:rPr>
          <w:sz w:val="24"/>
          <w:szCs w:val="24"/>
        </w:rPr>
        <w:t xml:space="preserve">The experiment may be deemed a failure </w:t>
      </w:r>
      <w:r w:rsidR="00BA1D10">
        <w:rPr>
          <w:sz w:val="24"/>
          <w:szCs w:val="24"/>
        </w:rPr>
        <w:t xml:space="preserve">for all practical purposes </w:t>
      </w:r>
      <w:r>
        <w:rPr>
          <w:sz w:val="24"/>
          <w:szCs w:val="24"/>
        </w:rPr>
        <w:t>and needs to be repeated to say anything decisive</w:t>
      </w:r>
      <w:r w:rsidR="00BA1D10">
        <w:rPr>
          <w:sz w:val="24"/>
          <w:szCs w:val="24"/>
        </w:rPr>
        <w:t xml:space="preserve"> about the trends.</w:t>
      </w:r>
    </w:p>
    <w:p w:rsidR="005A2658" w:rsidRDefault="005A2658" w:rsidP="00AD1BDC">
      <w:pPr>
        <w:pStyle w:val="NoSpacing"/>
        <w:rPr>
          <w:sz w:val="24"/>
          <w:szCs w:val="24"/>
        </w:rPr>
      </w:pPr>
    </w:p>
    <w:p w:rsidR="00041534" w:rsidRDefault="00041534" w:rsidP="00041534">
      <w:pPr>
        <w:rPr>
          <w:b/>
          <w:sz w:val="28"/>
          <w:szCs w:val="28"/>
        </w:rPr>
      </w:pPr>
      <w:r w:rsidRPr="00DC7105">
        <w:rPr>
          <w:b/>
          <w:sz w:val="28"/>
          <w:szCs w:val="28"/>
        </w:rPr>
        <w:t xml:space="preserve">Question </w:t>
      </w:r>
      <w:r>
        <w:rPr>
          <w:b/>
          <w:sz w:val="28"/>
          <w:szCs w:val="28"/>
        </w:rPr>
        <w:t>3</w:t>
      </w:r>
    </w:p>
    <w:p w:rsidR="002223E4" w:rsidRPr="002223E4" w:rsidRDefault="002223E4" w:rsidP="002223E4">
      <w:pPr>
        <w:pStyle w:val="Default"/>
        <w:rPr>
          <w:rFonts w:asciiTheme="minorHAnsi" w:eastAsiaTheme="minorHAnsi" w:hAnsiTheme="minorHAnsi" w:cstheme="minorBidi"/>
          <w:i/>
          <w:iCs/>
          <w:color w:val="auto"/>
          <w:szCs w:val="22"/>
          <w:lang w:val="en-CA" w:eastAsia="ko-KR"/>
        </w:rPr>
      </w:pPr>
      <w:r w:rsidRPr="002223E4">
        <w:rPr>
          <w:rFonts w:asciiTheme="minorHAnsi" w:eastAsiaTheme="minorHAnsi" w:hAnsiTheme="minorHAnsi" w:cstheme="minorBidi"/>
          <w:i/>
          <w:iCs/>
          <w:color w:val="auto"/>
          <w:szCs w:val="22"/>
          <w:lang w:val="en-CA" w:eastAsia="ko-KR"/>
        </w:rPr>
        <w:t xml:space="preserve">Discuss any errors; contamination, high background, high CV. </w:t>
      </w:r>
    </w:p>
    <w:p w:rsidR="00644530" w:rsidRDefault="002223E4" w:rsidP="00862A69">
      <w:r>
        <w:br/>
        <w:t xml:space="preserve">We had a lot of sources of errors in our lab. </w:t>
      </w:r>
      <w:r w:rsidR="00644530">
        <w:t>This is obvious from the number of outliers in the data that do not conform to any trend.</w:t>
      </w:r>
    </w:p>
    <w:p w:rsidR="002223E4" w:rsidRDefault="002223E4" w:rsidP="00862A69">
      <w:r>
        <w:t>There were two cases of solution “splashing” on to other rows while snapping the plate row into the plate shaker. This resulted in contamination of the solutions by effectively changing their concentrations. It could also be possible that the plates weren’t washed cleanly before use. We didn’t was them ourselves; we just trusted they were clean before we used them. The pipette tips could also be dirty</w:t>
      </w:r>
      <w:r w:rsidR="00862A69">
        <w:t xml:space="preserve"> to begin with, or we may have accidentally used the same tip twice when we shouldn’t have.</w:t>
      </w:r>
    </w:p>
    <w:p w:rsidR="00862A69" w:rsidRPr="00862A69" w:rsidRDefault="00862A69" w:rsidP="00862A69">
      <w:r>
        <w:t xml:space="preserve">What about high background related errors? We had lots of errors with our background readings being too high. This was observed both with our own data as well as Group 3’s data given to us by the lab instructor. Since the background was too high, sometimes even higher than the numbers recorded for standards </w:t>
      </w:r>
      <w:r>
        <w:rPr>
          <w:i/>
          <w:iCs/>
        </w:rPr>
        <w:t>with insulin</w:t>
      </w:r>
      <w:r>
        <w:t xml:space="preserve">, we would often obtain negative values </w:t>
      </w:r>
      <w:r>
        <w:lastRenderedPageBreak/>
        <w:t>when the background readings were subtracted from the standards with insulin. This did not make sense at all, so we concluded there was something wrong with the background readings.</w:t>
      </w:r>
    </w:p>
    <w:p w:rsidR="00041534" w:rsidRDefault="00041534" w:rsidP="00862A69">
      <w:r>
        <w:t xml:space="preserve">Lastly, </w:t>
      </w:r>
      <w:r w:rsidR="00862A69">
        <w:t>since the coefficient of variation (</w:t>
      </w:r>
      <w:r>
        <w:t>CV</w:t>
      </w:r>
      <w:r w:rsidR="00862A69">
        <w:t>)</w:t>
      </w:r>
      <w:r>
        <w:t xml:space="preserve"> represents the va</w:t>
      </w:r>
      <w:r w:rsidR="00862A69">
        <w:t xml:space="preserve">riation between the two results, high </w:t>
      </w:r>
      <w:r>
        <w:t xml:space="preserve">CV </w:t>
      </w:r>
      <w:r w:rsidR="00862A69">
        <w:t xml:space="preserve">values </w:t>
      </w:r>
      <w:r>
        <w:t>can bias a certain data point on the plot</w:t>
      </w:r>
      <w:r w:rsidR="00862A69">
        <w:t xml:space="preserve"> </w:t>
      </w:r>
      <w:r w:rsidR="006E77FE">
        <w:t xml:space="preserve">by </w:t>
      </w:r>
      <w:r w:rsidR="00862A69">
        <w:t>affecting the slop</w:t>
      </w:r>
      <w:r w:rsidR="006E77FE">
        <w:t xml:space="preserve">e of the </w:t>
      </w:r>
      <w:proofErr w:type="spellStart"/>
      <w:r w:rsidR="006E77FE">
        <w:t>trendline</w:t>
      </w:r>
      <w:proofErr w:type="spellEnd"/>
      <w:r w:rsidR="006E77FE">
        <w:t xml:space="preserve"> on the ELISA plot.</w:t>
      </w:r>
    </w:p>
    <w:p w:rsidR="00041534" w:rsidRDefault="00041534" w:rsidP="00041534">
      <w:pPr>
        <w:rPr>
          <w:b/>
          <w:sz w:val="28"/>
          <w:szCs w:val="28"/>
        </w:rPr>
      </w:pPr>
      <w:r w:rsidRPr="00DC7105">
        <w:rPr>
          <w:b/>
          <w:sz w:val="28"/>
          <w:szCs w:val="28"/>
        </w:rPr>
        <w:t xml:space="preserve">Question </w:t>
      </w:r>
      <w:r>
        <w:rPr>
          <w:b/>
          <w:sz w:val="28"/>
          <w:szCs w:val="28"/>
        </w:rPr>
        <w:t>4</w:t>
      </w:r>
    </w:p>
    <w:p w:rsidR="002223E4" w:rsidRPr="002223E4" w:rsidRDefault="002223E4" w:rsidP="002223E4">
      <w:pPr>
        <w:pStyle w:val="Default"/>
        <w:rPr>
          <w:rFonts w:asciiTheme="minorHAnsi" w:eastAsiaTheme="minorHAnsi" w:hAnsiTheme="minorHAnsi" w:cstheme="minorBidi"/>
          <w:i/>
          <w:iCs/>
          <w:color w:val="auto"/>
          <w:szCs w:val="22"/>
          <w:lang w:val="en-CA" w:eastAsia="ko-KR"/>
        </w:rPr>
      </w:pPr>
      <w:r w:rsidRPr="002223E4">
        <w:rPr>
          <w:rFonts w:asciiTheme="minorHAnsi" w:eastAsiaTheme="minorHAnsi" w:hAnsiTheme="minorHAnsi" w:cstheme="minorBidi"/>
          <w:i/>
          <w:iCs/>
          <w:color w:val="auto"/>
          <w:szCs w:val="22"/>
          <w:lang w:val="en-CA" w:eastAsia="ko-KR"/>
        </w:rPr>
        <w:t xml:space="preserve">What would be the effect on encapsulation efficiency if a higher concentration of sodium alginate was used, for example, 2.0% w/v? Why? </w:t>
      </w:r>
    </w:p>
    <w:p w:rsidR="002223E4" w:rsidRPr="002223E4" w:rsidRDefault="002223E4" w:rsidP="00A8680C">
      <w:r>
        <w:br/>
        <w:t xml:space="preserve">If a higher concentration of sodium alginate was used, particle solidification will proceed at a much faster rate thereby reducing the amount of time for diffusion to happen. Higher concentration of sodium alginate will also make the polymer more viscous also resulting in reduced drug diffusion back into the solution. Both these factors will contribute to </w:t>
      </w:r>
      <w:r>
        <w:rPr>
          <w:b/>
          <w:bCs/>
        </w:rPr>
        <w:t>increased</w:t>
      </w:r>
      <w:r>
        <w:t xml:space="preserve"> encapsulation efficiency.</w:t>
      </w:r>
    </w:p>
    <w:p w:rsidR="007F007C" w:rsidRDefault="00041534" w:rsidP="007F007C">
      <w:r w:rsidRPr="00DC7105">
        <w:rPr>
          <w:b/>
          <w:sz w:val="28"/>
          <w:szCs w:val="28"/>
        </w:rPr>
        <w:t xml:space="preserve">Question </w:t>
      </w:r>
      <w:r w:rsidR="00F27792">
        <w:rPr>
          <w:b/>
          <w:sz w:val="28"/>
          <w:szCs w:val="28"/>
        </w:rPr>
        <w:t>5</w:t>
      </w:r>
    </w:p>
    <w:p w:rsidR="007F007C" w:rsidRPr="007F007C" w:rsidRDefault="007F007C" w:rsidP="007F007C">
      <w:pPr>
        <w:pStyle w:val="Default"/>
        <w:rPr>
          <w:rFonts w:asciiTheme="minorHAnsi" w:eastAsiaTheme="minorHAnsi" w:hAnsiTheme="minorHAnsi" w:cstheme="minorBidi"/>
          <w:i/>
          <w:iCs/>
          <w:color w:val="auto"/>
          <w:szCs w:val="22"/>
          <w:lang w:val="en-CA" w:eastAsia="ko-KR"/>
        </w:rPr>
      </w:pPr>
      <w:r w:rsidRPr="007F007C">
        <w:rPr>
          <w:rFonts w:asciiTheme="minorHAnsi" w:eastAsiaTheme="minorHAnsi" w:hAnsiTheme="minorHAnsi" w:cstheme="minorBidi"/>
          <w:i/>
          <w:iCs/>
          <w:color w:val="auto"/>
          <w:szCs w:val="22"/>
          <w:lang w:val="en-CA" w:eastAsia="ko-KR"/>
        </w:rPr>
        <w:t xml:space="preserve">What is the difference between internal </w:t>
      </w:r>
      <w:proofErr w:type="spellStart"/>
      <w:r w:rsidRPr="007F007C">
        <w:rPr>
          <w:rFonts w:asciiTheme="minorHAnsi" w:eastAsiaTheme="minorHAnsi" w:hAnsiTheme="minorHAnsi" w:cstheme="minorBidi"/>
          <w:i/>
          <w:iCs/>
          <w:color w:val="auto"/>
          <w:szCs w:val="22"/>
          <w:lang w:val="en-CA" w:eastAsia="ko-KR"/>
        </w:rPr>
        <w:t>gelation</w:t>
      </w:r>
      <w:proofErr w:type="spellEnd"/>
      <w:r w:rsidRPr="007F007C">
        <w:rPr>
          <w:rFonts w:asciiTheme="minorHAnsi" w:eastAsiaTheme="minorHAnsi" w:hAnsiTheme="minorHAnsi" w:cstheme="minorBidi"/>
          <w:i/>
          <w:iCs/>
          <w:color w:val="auto"/>
          <w:szCs w:val="22"/>
          <w:lang w:val="en-CA" w:eastAsia="ko-KR"/>
        </w:rPr>
        <w:t xml:space="preserve"> and external </w:t>
      </w:r>
      <w:proofErr w:type="spellStart"/>
      <w:r w:rsidRPr="007F007C">
        <w:rPr>
          <w:rFonts w:asciiTheme="minorHAnsi" w:eastAsiaTheme="minorHAnsi" w:hAnsiTheme="minorHAnsi" w:cstheme="minorBidi"/>
          <w:i/>
          <w:iCs/>
          <w:color w:val="auto"/>
          <w:szCs w:val="22"/>
          <w:lang w:val="en-CA" w:eastAsia="ko-KR"/>
        </w:rPr>
        <w:t>gelation</w:t>
      </w:r>
      <w:proofErr w:type="spellEnd"/>
      <w:r w:rsidRPr="007F007C">
        <w:rPr>
          <w:rFonts w:asciiTheme="minorHAnsi" w:eastAsiaTheme="minorHAnsi" w:hAnsiTheme="minorHAnsi" w:cstheme="minorBidi"/>
          <w:i/>
          <w:iCs/>
          <w:color w:val="auto"/>
          <w:szCs w:val="22"/>
          <w:lang w:val="en-CA" w:eastAsia="ko-KR"/>
        </w:rPr>
        <w:t>? Which method was used in this lab? Nam</w:t>
      </w:r>
      <w:r w:rsidR="0031288F">
        <w:rPr>
          <w:rFonts w:asciiTheme="minorHAnsi" w:eastAsiaTheme="minorHAnsi" w:hAnsiTheme="minorHAnsi" w:cstheme="minorBidi"/>
          <w:i/>
          <w:iCs/>
          <w:color w:val="auto"/>
          <w:szCs w:val="22"/>
          <w:lang w:val="en-CA" w:eastAsia="ko-KR"/>
        </w:rPr>
        <w:t>e one advantage of this method.</w:t>
      </w:r>
    </w:p>
    <w:p w:rsidR="0087350F" w:rsidRDefault="007F007C" w:rsidP="0087350F">
      <w:r>
        <w:br/>
      </w:r>
      <w:r w:rsidR="00E37873" w:rsidRPr="00E37873">
        <w:rPr>
          <w:b/>
          <w:bCs/>
        </w:rPr>
        <w:t xml:space="preserve">Internal </w:t>
      </w:r>
      <w:proofErr w:type="spellStart"/>
      <w:r w:rsidR="00E37873" w:rsidRPr="00E37873">
        <w:rPr>
          <w:b/>
          <w:bCs/>
        </w:rPr>
        <w:t>Gelation</w:t>
      </w:r>
      <w:proofErr w:type="spellEnd"/>
      <w:r w:rsidR="00E37873">
        <w:t xml:space="preserve">: </w:t>
      </w:r>
      <w:r w:rsidR="0087350F">
        <w:t xml:space="preserve">When the </w:t>
      </w:r>
      <w:proofErr w:type="spellStart"/>
      <w:r w:rsidR="0087350F">
        <w:t>gelation</w:t>
      </w:r>
      <w:proofErr w:type="spellEnd"/>
      <w:r w:rsidR="0087350F">
        <w:t xml:space="preserve"> process resulting in gel formation starts from the inside and then grows outward, it is called internal </w:t>
      </w:r>
      <w:proofErr w:type="spellStart"/>
      <w:r w:rsidR="0087350F">
        <w:t>gelation</w:t>
      </w:r>
      <w:proofErr w:type="spellEnd"/>
      <w:r w:rsidR="0087350F">
        <w:t xml:space="preserve">. Some gels are formed with the help of a pre-cursor molecule, which then grows outward from the center. This is an internal </w:t>
      </w:r>
      <w:proofErr w:type="spellStart"/>
      <w:r w:rsidR="0087350F">
        <w:t>gelation</w:t>
      </w:r>
      <w:proofErr w:type="spellEnd"/>
      <w:r w:rsidR="0087350F">
        <w:t xml:space="preserve"> process.</w:t>
      </w:r>
    </w:p>
    <w:p w:rsidR="00041534" w:rsidRDefault="0087350F" w:rsidP="00041534">
      <w:r>
        <w:rPr>
          <w:b/>
          <w:bCs/>
        </w:rPr>
        <w:t>External</w:t>
      </w:r>
      <w:r w:rsidRPr="00E37873">
        <w:rPr>
          <w:b/>
          <w:bCs/>
        </w:rPr>
        <w:t xml:space="preserve"> </w:t>
      </w:r>
      <w:proofErr w:type="spellStart"/>
      <w:r w:rsidRPr="00E37873">
        <w:rPr>
          <w:b/>
          <w:bCs/>
        </w:rPr>
        <w:t>Gelation</w:t>
      </w:r>
      <w:proofErr w:type="spellEnd"/>
      <w:r>
        <w:t>:</w:t>
      </w:r>
      <w:r w:rsidR="001D32F3">
        <w:t xml:space="preserve"> While internal </w:t>
      </w:r>
      <w:proofErr w:type="spellStart"/>
      <w:r w:rsidR="001D32F3">
        <w:t>gelation</w:t>
      </w:r>
      <w:proofErr w:type="spellEnd"/>
      <w:r w:rsidR="001D32F3">
        <w:t xml:space="preserve"> starts from the inside and then grows outward, external </w:t>
      </w:r>
      <w:proofErr w:type="spellStart"/>
      <w:r w:rsidR="001D32F3">
        <w:t>gelation</w:t>
      </w:r>
      <w:proofErr w:type="spellEnd"/>
      <w:r w:rsidR="001D32F3">
        <w:t xml:space="preserve"> is different in that it forms an outside surface first and then proceeds to solidify inwards.</w:t>
      </w:r>
    </w:p>
    <w:p w:rsidR="00AF4748" w:rsidRDefault="006F4812" w:rsidP="00AF4748">
      <w:r>
        <w:t xml:space="preserve">The method used in this lab was </w:t>
      </w:r>
      <w:r>
        <w:rPr>
          <w:i/>
          <w:iCs/>
        </w:rPr>
        <w:t xml:space="preserve">external </w:t>
      </w:r>
      <w:proofErr w:type="spellStart"/>
      <w:r w:rsidRPr="006F4812">
        <w:rPr>
          <w:i/>
          <w:iCs/>
        </w:rPr>
        <w:t>gelation</w:t>
      </w:r>
      <w:proofErr w:type="spellEnd"/>
      <w:r>
        <w:t xml:space="preserve">. </w:t>
      </w:r>
      <w:r w:rsidR="00AF4748">
        <w:t>The process was achieved by dropping alginate droplets into a calcium ion bath which immediately diffuse into the alginate as soon as the alginate droplet hits the surface. The diffusion results in a solidification of the polymer surface first which then continues inwards.</w:t>
      </w:r>
    </w:p>
    <w:p w:rsidR="006F4812" w:rsidRDefault="006F4812" w:rsidP="00876CD1">
      <w:r>
        <w:t xml:space="preserve">One </w:t>
      </w:r>
      <w:r w:rsidR="00041534">
        <w:t xml:space="preserve">advantage of this </w:t>
      </w:r>
      <w:r>
        <w:t xml:space="preserve">external </w:t>
      </w:r>
      <w:proofErr w:type="spellStart"/>
      <w:r>
        <w:t>gelation</w:t>
      </w:r>
      <w:proofErr w:type="spellEnd"/>
      <w:r>
        <w:t xml:space="preserve"> method over the internal </w:t>
      </w:r>
      <w:proofErr w:type="spellStart"/>
      <w:r>
        <w:t>gelation</w:t>
      </w:r>
      <w:proofErr w:type="spellEnd"/>
      <w:r>
        <w:t xml:space="preserve"> </w:t>
      </w:r>
      <w:r w:rsidR="00041534">
        <w:t xml:space="preserve">method is </w:t>
      </w:r>
      <w:r>
        <w:t>that once the alginate is placed in the calcium bath, we witness the formation a shell at the surface of the droplet. This shell has the ability to trap the drug within the droplet before it diffuses away from the droplet’s vicinity.</w:t>
      </w:r>
      <w:r w:rsidR="00876CD1">
        <w:t xml:space="preserve"> This improves the encapsulation efficiency vastly.</w:t>
      </w:r>
    </w:p>
    <w:p w:rsidR="00041534" w:rsidRDefault="00041534" w:rsidP="00041534">
      <w:pPr>
        <w:rPr>
          <w:b/>
          <w:sz w:val="28"/>
          <w:szCs w:val="28"/>
        </w:rPr>
      </w:pPr>
      <w:r w:rsidRPr="00DC7105">
        <w:rPr>
          <w:b/>
          <w:sz w:val="28"/>
          <w:szCs w:val="28"/>
        </w:rPr>
        <w:lastRenderedPageBreak/>
        <w:t xml:space="preserve">Question </w:t>
      </w:r>
      <w:r>
        <w:rPr>
          <w:b/>
          <w:sz w:val="28"/>
          <w:szCs w:val="28"/>
        </w:rPr>
        <w:t>6</w:t>
      </w:r>
    </w:p>
    <w:p w:rsidR="00F27792" w:rsidRPr="00F27792" w:rsidRDefault="00F27792" w:rsidP="00F27792">
      <w:pPr>
        <w:pStyle w:val="Default"/>
        <w:rPr>
          <w:rFonts w:asciiTheme="minorHAnsi" w:eastAsiaTheme="minorHAnsi" w:hAnsiTheme="minorHAnsi" w:cstheme="minorBidi"/>
          <w:i/>
          <w:iCs/>
          <w:color w:val="auto"/>
          <w:szCs w:val="22"/>
          <w:lang w:val="en-CA" w:eastAsia="ko-KR"/>
        </w:rPr>
      </w:pPr>
      <w:r w:rsidRPr="00F27792">
        <w:rPr>
          <w:rFonts w:asciiTheme="minorHAnsi" w:eastAsiaTheme="minorHAnsi" w:hAnsiTheme="minorHAnsi" w:cstheme="minorBidi"/>
          <w:i/>
          <w:iCs/>
          <w:color w:val="auto"/>
          <w:szCs w:val="22"/>
          <w:lang w:val="en-CA" w:eastAsia="ko-KR"/>
        </w:rPr>
        <w:t xml:space="preserve">Encapsulated insulin </w:t>
      </w:r>
      <w:proofErr w:type="spellStart"/>
      <w:r w:rsidRPr="00F27792">
        <w:rPr>
          <w:rFonts w:asciiTheme="minorHAnsi" w:eastAsiaTheme="minorHAnsi" w:hAnsiTheme="minorHAnsi" w:cstheme="minorBidi"/>
          <w:i/>
          <w:iCs/>
          <w:color w:val="auto"/>
          <w:szCs w:val="22"/>
          <w:lang w:val="en-CA" w:eastAsia="ko-KR"/>
        </w:rPr>
        <w:t>hydrogels</w:t>
      </w:r>
      <w:proofErr w:type="spellEnd"/>
      <w:r w:rsidRPr="00F27792">
        <w:rPr>
          <w:rFonts w:asciiTheme="minorHAnsi" w:eastAsiaTheme="minorHAnsi" w:hAnsiTheme="minorHAnsi" w:cstheme="minorBidi"/>
          <w:i/>
          <w:iCs/>
          <w:color w:val="auto"/>
          <w:szCs w:val="22"/>
          <w:lang w:val="en-CA" w:eastAsia="ko-KR"/>
        </w:rPr>
        <w:t xml:space="preserve"> are leaky due to large gel porosity; suggest one method on overcoming this? Support with literature. </w:t>
      </w:r>
    </w:p>
    <w:p w:rsidR="00F27792" w:rsidRDefault="00F27792" w:rsidP="00F27792">
      <w:r>
        <w:br/>
        <w:t xml:space="preserve">One way of overcoming leaky encapsulated insulin </w:t>
      </w:r>
      <w:proofErr w:type="spellStart"/>
      <w:r>
        <w:t>hydrogels</w:t>
      </w:r>
      <w:proofErr w:type="spellEnd"/>
      <w:r>
        <w:t xml:space="preserve"> is to increase the concentration of the polymer. Increasing the concentration of the polymer will result in quicker solidification of the encapsulated gel because of a steeper concentration gradient at the phase boundary between the polymer and the organic solvent. This quicker solidification of the gel helps us achieve lesser porosity, resulting in </w:t>
      </w:r>
      <w:proofErr w:type="gramStart"/>
      <w:r>
        <w:t>a better</w:t>
      </w:r>
      <w:proofErr w:type="gramEnd"/>
      <w:r>
        <w:t xml:space="preserve"> encapsulation efficiency.</w:t>
      </w:r>
    </w:p>
    <w:sectPr w:rsidR="00F27792" w:rsidSect="00DA32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A19"/>
    <w:multiLevelType w:val="hybridMultilevel"/>
    <w:tmpl w:val="09F2F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451E8C"/>
    <w:multiLevelType w:val="hybridMultilevel"/>
    <w:tmpl w:val="54EC7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8E7296"/>
    <w:multiLevelType w:val="hybridMultilevel"/>
    <w:tmpl w:val="BCD02D7E"/>
    <w:lvl w:ilvl="0" w:tplc="AED0DA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BE3C01"/>
    <w:multiLevelType w:val="hybridMultilevel"/>
    <w:tmpl w:val="70804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8627E2"/>
    <w:multiLevelType w:val="hybridMultilevel"/>
    <w:tmpl w:val="9FECA6A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077B"/>
    <w:rsid w:val="00041534"/>
    <w:rsid w:val="00062E35"/>
    <w:rsid w:val="00076756"/>
    <w:rsid w:val="000B358F"/>
    <w:rsid w:val="000C58D7"/>
    <w:rsid w:val="000E653A"/>
    <w:rsid w:val="00103EB3"/>
    <w:rsid w:val="00110C31"/>
    <w:rsid w:val="00190F2C"/>
    <w:rsid w:val="001D32F3"/>
    <w:rsid w:val="002050DF"/>
    <w:rsid w:val="002107B7"/>
    <w:rsid w:val="002223E4"/>
    <w:rsid w:val="00274AF2"/>
    <w:rsid w:val="002E5AF1"/>
    <w:rsid w:val="0031288F"/>
    <w:rsid w:val="00324ABA"/>
    <w:rsid w:val="00360B57"/>
    <w:rsid w:val="0036415A"/>
    <w:rsid w:val="00372450"/>
    <w:rsid w:val="00385308"/>
    <w:rsid w:val="003C217D"/>
    <w:rsid w:val="00413A59"/>
    <w:rsid w:val="004330AC"/>
    <w:rsid w:val="004345B6"/>
    <w:rsid w:val="00435114"/>
    <w:rsid w:val="004666F0"/>
    <w:rsid w:val="004F670F"/>
    <w:rsid w:val="0054451D"/>
    <w:rsid w:val="005A2658"/>
    <w:rsid w:val="005A36EB"/>
    <w:rsid w:val="005C1A03"/>
    <w:rsid w:val="005D4510"/>
    <w:rsid w:val="005E442D"/>
    <w:rsid w:val="005F09A1"/>
    <w:rsid w:val="00644530"/>
    <w:rsid w:val="0067158E"/>
    <w:rsid w:val="0068077B"/>
    <w:rsid w:val="006D1BAA"/>
    <w:rsid w:val="006D20F1"/>
    <w:rsid w:val="006E77FE"/>
    <w:rsid w:val="006F4812"/>
    <w:rsid w:val="006F6785"/>
    <w:rsid w:val="00741D4F"/>
    <w:rsid w:val="007835D8"/>
    <w:rsid w:val="007F007C"/>
    <w:rsid w:val="00862A69"/>
    <w:rsid w:val="0087350F"/>
    <w:rsid w:val="00876CD1"/>
    <w:rsid w:val="00890966"/>
    <w:rsid w:val="008959E3"/>
    <w:rsid w:val="008A3A6E"/>
    <w:rsid w:val="008B1931"/>
    <w:rsid w:val="008F0FA8"/>
    <w:rsid w:val="00912E9F"/>
    <w:rsid w:val="009233FD"/>
    <w:rsid w:val="00944DC8"/>
    <w:rsid w:val="009463BB"/>
    <w:rsid w:val="00951F59"/>
    <w:rsid w:val="00993DF3"/>
    <w:rsid w:val="009E77F6"/>
    <w:rsid w:val="00A07549"/>
    <w:rsid w:val="00A0784B"/>
    <w:rsid w:val="00A8680C"/>
    <w:rsid w:val="00AA3FA0"/>
    <w:rsid w:val="00AD1BDC"/>
    <w:rsid w:val="00AD3BCC"/>
    <w:rsid w:val="00AF4748"/>
    <w:rsid w:val="00B220A3"/>
    <w:rsid w:val="00B6472C"/>
    <w:rsid w:val="00BA1D10"/>
    <w:rsid w:val="00BA745D"/>
    <w:rsid w:val="00BC1218"/>
    <w:rsid w:val="00C67B33"/>
    <w:rsid w:val="00C87DCD"/>
    <w:rsid w:val="00C97B28"/>
    <w:rsid w:val="00CD7DC6"/>
    <w:rsid w:val="00CF6A8A"/>
    <w:rsid w:val="00D41374"/>
    <w:rsid w:val="00D55522"/>
    <w:rsid w:val="00D771F6"/>
    <w:rsid w:val="00DA3268"/>
    <w:rsid w:val="00DB2BD6"/>
    <w:rsid w:val="00DD1F68"/>
    <w:rsid w:val="00DD6A9D"/>
    <w:rsid w:val="00E00866"/>
    <w:rsid w:val="00E1369E"/>
    <w:rsid w:val="00E26280"/>
    <w:rsid w:val="00E37873"/>
    <w:rsid w:val="00E95F2E"/>
    <w:rsid w:val="00EB3A83"/>
    <w:rsid w:val="00F27792"/>
    <w:rsid w:val="00F42A16"/>
    <w:rsid w:val="00FE52DA"/>
    <w:rsid w:val="00FF415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D7"/>
    <w:rPr>
      <w:sz w:val="24"/>
      <w:lang w:eastAsia="ko-KR"/>
    </w:rPr>
  </w:style>
  <w:style w:type="paragraph" w:styleId="Heading1">
    <w:name w:val="heading 1"/>
    <w:basedOn w:val="Normal"/>
    <w:next w:val="Normal"/>
    <w:link w:val="Heading1Char"/>
    <w:uiPriority w:val="9"/>
    <w:qFormat/>
    <w:rsid w:val="00680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C3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0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7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077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10C3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077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4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16"/>
    <w:rPr>
      <w:rFonts w:ascii="Tahoma" w:hAnsi="Tahoma" w:cs="Tahoma"/>
      <w:sz w:val="16"/>
      <w:szCs w:val="16"/>
    </w:rPr>
  </w:style>
  <w:style w:type="table" w:styleId="TableGrid">
    <w:name w:val="Table Grid"/>
    <w:basedOn w:val="TableNormal"/>
    <w:uiPriority w:val="59"/>
    <w:rsid w:val="005D451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C58D7"/>
    <w:pPr>
      <w:spacing w:after="0" w:line="240" w:lineRule="auto"/>
    </w:pPr>
    <w:rPr>
      <w:rFonts w:eastAsiaTheme="minorEastAsia"/>
    </w:rPr>
  </w:style>
  <w:style w:type="paragraph" w:styleId="ListParagraph">
    <w:name w:val="List Paragraph"/>
    <w:basedOn w:val="Normal"/>
    <w:uiPriority w:val="34"/>
    <w:qFormat/>
    <w:rsid w:val="009E77F6"/>
    <w:pPr>
      <w:ind w:left="720"/>
      <w:contextualSpacing/>
    </w:pPr>
  </w:style>
  <w:style w:type="paragraph" w:styleId="Caption">
    <w:name w:val="caption"/>
    <w:basedOn w:val="Normal"/>
    <w:next w:val="Normal"/>
    <w:uiPriority w:val="35"/>
    <w:unhideWhenUsed/>
    <w:qFormat/>
    <w:rsid w:val="00103EB3"/>
    <w:pPr>
      <w:spacing w:line="240" w:lineRule="auto"/>
    </w:pPr>
    <w:rPr>
      <w:b/>
      <w:bCs/>
      <w:color w:val="4F81BD" w:themeColor="accent1"/>
      <w:sz w:val="18"/>
      <w:szCs w:val="18"/>
    </w:rPr>
  </w:style>
  <w:style w:type="paragraph" w:customStyle="1" w:styleId="Default">
    <w:name w:val="Default"/>
    <w:rsid w:val="00912E9F"/>
    <w:pPr>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itle">
    <w:name w:val="Title"/>
    <w:basedOn w:val="Normal"/>
    <w:next w:val="Normal"/>
    <w:link w:val="TitleChar"/>
    <w:uiPriority w:val="10"/>
    <w:qFormat/>
    <w:rsid w:val="00A86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8680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853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4.w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eter%20Lee\My%20Documents\NE481L%20Nanobiosystems%20Lab\NE481%20Lab%201%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eter%20Lee\My%20Documents\NE481L%20Nanobiosystems%20Lab\NE481%20Lab%201%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eter%20Lee\My%20Documents\NE481L%20Nanobiosystems%20Lab\NE481%20Lab%202%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eter%20Lee\My%20Documents\NE481L%20Nanobiosystems%20Lab\NE481%20Lab%203%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eter%20Lee\My%20Documents\NE481L%20Nanobiosystems%20Lab\NE481%20Lab%203%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CA" sz="1400" b="1" i="0" u="none" strike="noStrike" kern="1200" baseline="0">
                <a:solidFill>
                  <a:sysClr val="windowText" lastClr="000000"/>
                </a:solidFill>
                <a:latin typeface="+mn-lt"/>
                <a:ea typeface="+mn-ea"/>
                <a:cs typeface="+mn-cs"/>
              </a:defRPr>
            </a:pPr>
            <a:r>
              <a:rPr lang="en-CA" sz="1400"/>
              <a:t>Particle</a:t>
            </a:r>
            <a:r>
              <a:rPr lang="en-CA" sz="1400" baseline="0"/>
              <a:t> Size of </a:t>
            </a:r>
            <a:r>
              <a:rPr lang="en-US" sz="1400" baseline="0" smtClean="0"/>
              <a:t>PLGA-b-PEG</a:t>
            </a:r>
            <a:r>
              <a:rPr lang="en-CA" sz="1400" baseline="0"/>
              <a:t> in Different Solvents</a:t>
            </a:r>
            <a:endParaRPr lang="en-CA" sz="1400"/>
          </a:p>
        </c:rich>
      </c:tx>
      <c:layout>
        <c:manualLayout>
          <c:xMode val="edge"/>
          <c:yMode val="edge"/>
          <c:x val="0.11593114151870261"/>
          <c:y val="5.6737588652482296E-2"/>
        </c:manualLayout>
      </c:layout>
      <c:overlay val="1"/>
    </c:title>
    <c:plotArea>
      <c:layout>
        <c:manualLayout>
          <c:layoutTarget val="inner"/>
          <c:xMode val="edge"/>
          <c:yMode val="edge"/>
          <c:x val="0.12930946922773895"/>
          <c:y val="0.21089145771672174"/>
          <c:w val="0.67423455395127563"/>
          <c:h val="0.48102425484515582"/>
        </c:manualLayout>
      </c:layout>
      <c:scatterChart>
        <c:scatterStyle val="smoothMarker"/>
        <c:ser>
          <c:idx val="0"/>
          <c:order val="0"/>
          <c:tx>
            <c:strRef>
              <c:f>Sheet1!$C$6</c:f>
              <c:strCache>
                <c:ptCount val="1"/>
                <c:pt idx="0">
                  <c:v>DMSO</c:v>
                </c:pt>
              </c:strCache>
            </c:strRef>
          </c:tx>
          <c:xVal>
            <c:numRef>
              <c:f>Sheet1!$B$6:$B$9</c:f>
              <c:numCache>
                <c:formatCode>General</c:formatCode>
                <c:ptCount val="4"/>
                <c:pt idx="0">
                  <c:v>5</c:v>
                </c:pt>
                <c:pt idx="1">
                  <c:v>10</c:v>
                </c:pt>
                <c:pt idx="2">
                  <c:v>25</c:v>
                </c:pt>
                <c:pt idx="3">
                  <c:v>50</c:v>
                </c:pt>
              </c:numCache>
            </c:numRef>
          </c:xVal>
          <c:yVal>
            <c:numRef>
              <c:f>Sheet1!$D$6:$D$9</c:f>
              <c:numCache>
                <c:formatCode>General</c:formatCode>
                <c:ptCount val="4"/>
                <c:pt idx="0">
                  <c:v>78</c:v>
                </c:pt>
                <c:pt idx="1">
                  <c:v>127.9</c:v>
                </c:pt>
                <c:pt idx="2">
                  <c:v>204.9</c:v>
                </c:pt>
                <c:pt idx="3">
                  <c:v>339.2</c:v>
                </c:pt>
              </c:numCache>
            </c:numRef>
          </c:yVal>
          <c:smooth val="1"/>
        </c:ser>
        <c:ser>
          <c:idx val="1"/>
          <c:order val="1"/>
          <c:tx>
            <c:strRef>
              <c:f>Sheet1!$C$15</c:f>
              <c:strCache>
                <c:ptCount val="1"/>
                <c:pt idx="0">
                  <c:v>Acetone</c:v>
                </c:pt>
              </c:strCache>
            </c:strRef>
          </c:tx>
          <c:xVal>
            <c:numRef>
              <c:f>Sheet1!$B$15:$B$18</c:f>
              <c:numCache>
                <c:formatCode>General</c:formatCode>
                <c:ptCount val="4"/>
                <c:pt idx="0">
                  <c:v>5</c:v>
                </c:pt>
                <c:pt idx="1">
                  <c:v>10</c:v>
                </c:pt>
                <c:pt idx="2">
                  <c:v>25</c:v>
                </c:pt>
                <c:pt idx="3">
                  <c:v>50</c:v>
                </c:pt>
              </c:numCache>
            </c:numRef>
          </c:xVal>
          <c:yVal>
            <c:numRef>
              <c:f>Sheet1!$D$15:$D$18</c:f>
              <c:numCache>
                <c:formatCode>General</c:formatCode>
                <c:ptCount val="4"/>
                <c:pt idx="0">
                  <c:v>56.3</c:v>
                </c:pt>
                <c:pt idx="1">
                  <c:v>64.3</c:v>
                </c:pt>
                <c:pt idx="2">
                  <c:v>76</c:v>
                </c:pt>
                <c:pt idx="3">
                  <c:v>92.6</c:v>
                </c:pt>
              </c:numCache>
            </c:numRef>
          </c:yVal>
          <c:smooth val="1"/>
        </c:ser>
        <c:ser>
          <c:idx val="2"/>
          <c:order val="2"/>
          <c:tx>
            <c:strRef>
              <c:f>Sheet1!$C$24</c:f>
              <c:strCache>
                <c:ptCount val="1"/>
                <c:pt idx="0">
                  <c:v>THF</c:v>
                </c:pt>
              </c:strCache>
            </c:strRef>
          </c:tx>
          <c:xVal>
            <c:numRef>
              <c:f>Sheet1!$B$24:$B$27</c:f>
              <c:numCache>
                <c:formatCode>General</c:formatCode>
                <c:ptCount val="4"/>
                <c:pt idx="0">
                  <c:v>5</c:v>
                </c:pt>
                <c:pt idx="1">
                  <c:v>10</c:v>
                </c:pt>
                <c:pt idx="2">
                  <c:v>25</c:v>
                </c:pt>
                <c:pt idx="3">
                  <c:v>50</c:v>
                </c:pt>
              </c:numCache>
            </c:numRef>
          </c:xVal>
          <c:yVal>
            <c:numRef>
              <c:f>Sheet1!$D$24:$D$27</c:f>
              <c:numCache>
                <c:formatCode>General</c:formatCode>
                <c:ptCount val="4"/>
                <c:pt idx="0">
                  <c:v>135.80000000000001</c:v>
                </c:pt>
                <c:pt idx="1">
                  <c:v>160</c:v>
                </c:pt>
                <c:pt idx="2">
                  <c:v>239.9</c:v>
                </c:pt>
                <c:pt idx="3">
                  <c:v>490.8</c:v>
                </c:pt>
              </c:numCache>
            </c:numRef>
          </c:yVal>
          <c:smooth val="1"/>
        </c:ser>
        <c:ser>
          <c:idx val="3"/>
          <c:order val="3"/>
          <c:tx>
            <c:strRef>
              <c:f>Sheet1!$C$33</c:f>
              <c:strCache>
                <c:ptCount val="1"/>
                <c:pt idx="0">
                  <c:v>Acetonitrile</c:v>
                </c:pt>
              </c:strCache>
            </c:strRef>
          </c:tx>
          <c:xVal>
            <c:numRef>
              <c:f>Sheet1!$B$33:$B$36</c:f>
              <c:numCache>
                <c:formatCode>General</c:formatCode>
                <c:ptCount val="4"/>
                <c:pt idx="0">
                  <c:v>5</c:v>
                </c:pt>
                <c:pt idx="1">
                  <c:v>10</c:v>
                </c:pt>
                <c:pt idx="2">
                  <c:v>25</c:v>
                </c:pt>
                <c:pt idx="3">
                  <c:v>50</c:v>
                </c:pt>
              </c:numCache>
            </c:numRef>
          </c:xVal>
          <c:yVal>
            <c:numRef>
              <c:f>Sheet1!$D$33:$D$36</c:f>
              <c:numCache>
                <c:formatCode>General</c:formatCode>
                <c:ptCount val="4"/>
                <c:pt idx="0">
                  <c:v>57.1</c:v>
                </c:pt>
                <c:pt idx="1">
                  <c:v>63.1</c:v>
                </c:pt>
                <c:pt idx="2">
                  <c:v>60</c:v>
                </c:pt>
                <c:pt idx="3">
                  <c:v>57.1</c:v>
                </c:pt>
              </c:numCache>
            </c:numRef>
          </c:yVal>
          <c:smooth val="1"/>
        </c:ser>
        <c:axId val="157080192"/>
        <c:axId val="157086464"/>
      </c:scatterChart>
      <c:valAx>
        <c:axId val="157080192"/>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400"/>
                  <a:t>Concentration of </a:t>
                </a:r>
                <a:r>
                  <a:rPr lang="en-US" sz="1400" baseline="0" smtClean="0"/>
                  <a:t>PLGA-</a:t>
                </a:r>
                <a:r>
                  <a:rPr lang="en-US" sz="1400" i="1" baseline="0" smtClean="0"/>
                  <a:t>b</a:t>
                </a:r>
                <a:r>
                  <a:rPr lang="en-US" sz="1400" baseline="0" smtClean="0"/>
                  <a:t>-PEG </a:t>
                </a:r>
                <a:r>
                  <a:rPr lang="en-US" sz="1400"/>
                  <a:t>MW1 (mg/ml)</a:t>
                </a:r>
              </a:p>
            </c:rich>
          </c:tx>
        </c:title>
        <c:numFmt formatCode="General" sourceLinked="1"/>
        <c:tickLblPos val="nextTo"/>
        <c:txPr>
          <a:bodyPr/>
          <a:lstStyle/>
          <a:p>
            <a:pPr>
              <a:defRPr lang="en-CA"/>
            </a:pPr>
            <a:endParaRPr lang="en-US"/>
          </a:p>
        </c:txPr>
        <c:crossAx val="157086464"/>
        <c:crosses val="autoZero"/>
        <c:crossBetween val="midCat"/>
      </c:valAx>
      <c:valAx>
        <c:axId val="157086464"/>
        <c:scaling>
          <c:orientation val="minMax"/>
        </c:scaling>
        <c:axPos val="l"/>
        <c:majorGridlines/>
        <c:title>
          <c:tx>
            <c:rich>
              <a:bodyPr rot="-5400000" vert="horz"/>
              <a:lstStyle/>
              <a:p>
                <a:pPr>
                  <a:defRPr lang="en-US"/>
                </a:pPr>
                <a:r>
                  <a:rPr lang="en-US" sz="1300"/>
                  <a:t>Particle</a:t>
                </a:r>
                <a:r>
                  <a:rPr lang="en-US" sz="1300" baseline="0"/>
                  <a:t> Size (nm)</a:t>
                </a:r>
                <a:endParaRPr lang="en-US" sz="1300"/>
              </a:p>
            </c:rich>
          </c:tx>
        </c:title>
        <c:numFmt formatCode="General" sourceLinked="1"/>
        <c:tickLblPos val="nextTo"/>
        <c:txPr>
          <a:bodyPr/>
          <a:lstStyle/>
          <a:p>
            <a:pPr>
              <a:defRPr lang="en-CA"/>
            </a:pPr>
            <a:endParaRPr lang="en-US"/>
          </a:p>
        </c:txPr>
        <c:crossAx val="157080192"/>
        <c:crosses val="autoZero"/>
        <c:crossBetween val="midCat"/>
      </c:valAx>
    </c:plotArea>
    <c:legend>
      <c:legendPos val="r"/>
      <c:layout>
        <c:manualLayout>
          <c:xMode val="edge"/>
          <c:yMode val="edge"/>
          <c:x val="0.81298363021078102"/>
          <c:y val="0.29117812401109433"/>
          <c:w val="0.18701636978921948"/>
          <c:h val="0.34199363377450176"/>
        </c:manualLayout>
      </c:layout>
      <c:txPr>
        <a:bodyPr/>
        <a:lstStyle/>
        <a:p>
          <a:pPr>
            <a:defRPr lang="en-CA"/>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CA" sz="1400"/>
            </a:pPr>
            <a:r>
              <a:rPr lang="en-CA" sz="1400"/>
              <a:t>Particle</a:t>
            </a:r>
            <a:r>
              <a:rPr lang="en-CA" sz="1400" baseline="0"/>
              <a:t> Size of Different Solvents at 10 mg/ml Concentration With Varying Molecular Weight</a:t>
            </a:r>
            <a:endParaRPr lang="en-CA" sz="1400"/>
          </a:p>
        </c:rich>
      </c:tx>
      <c:overlay val="1"/>
    </c:title>
    <c:plotArea>
      <c:layout>
        <c:manualLayout>
          <c:layoutTarget val="inner"/>
          <c:xMode val="edge"/>
          <c:yMode val="edge"/>
          <c:x val="0.13131582216345097"/>
          <c:y val="0.20980916989336737"/>
          <c:w val="0.69801808883706284"/>
          <c:h val="0.66726545974206053"/>
        </c:manualLayout>
      </c:layout>
      <c:lineChart>
        <c:grouping val="standard"/>
        <c:ser>
          <c:idx val="0"/>
          <c:order val="0"/>
          <c:tx>
            <c:strRef>
              <c:f>Sheet1!$C$6</c:f>
              <c:strCache>
                <c:ptCount val="1"/>
                <c:pt idx="0">
                  <c:v>DMSO</c:v>
                </c:pt>
              </c:strCache>
            </c:strRef>
          </c:tx>
          <c:cat>
            <c:strRef>
              <c:f>Sheet1!$A$10:$A$12</c:f>
              <c:strCache>
                <c:ptCount val="3"/>
                <c:pt idx="0">
                  <c:v>MW1</c:v>
                </c:pt>
                <c:pt idx="1">
                  <c:v>MW2</c:v>
                </c:pt>
                <c:pt idx="2">
                  <c:v>MW3</c:v>
                </c:pt>
              </c:strCache>
            </c:strRef>
          </c:cat>
          <c:val>
            <c:numRef>
              <c:f>(Sheet1!$D$7,Sheet1!$D$11:$D$12)</c:f>
              <c:numCache>
                <c:formatCode>General</c:formatCode>
                <c:ptCount val="3"/>
                <c:pt idx="0">
                  <c:v>127.9</c:v>
                </c:pt>
                <c:pt idx="1">
                  <c:v>238.3</c:v>
                </c:pt>
                <c:pt idx="2">
                  <c:v>264.7</c:v>
                </c:pt>
              </c:numCache>
            </c:numRef>
          </c:val>
          <c:smooth val="1"/>
        </c:ser>
        <c:ser>
          <c:idx val="1"/>
          <c:order val="1"/>
          <c:tx>
            <c:strRef>
              <c:f>Sheet1!$C$15</c:f>
              <c:strCache>
                <c:ptCount val="1"/>
                <c:pt idx="0">
                  <c:v>Acetone</c:v>
                </c:pt>
              </c:strCache>
            </c:strRef>
          </c:tx>
          <c:cat>
            <c:strRef>
              <c:f>Sheet1!$A$19:$A$21</c:f>
              <c:strCache>
                <c:ptCount val="3"/>
                <c:pt idx="0">
                  <c:v>MW1</c:v>
                </c:pt>
                <c:pt idx="1">
                  <c:v>MW2</c:v>
                </c:pt>
                <c:pt idx="2">
                  <c:v>MW3</c:v>
                </c:pt>
              </c:strCache>
            </c:strRef>
          </c:cat>
          <c:val>
            <c:numRef>
              <c:f>(Sheet1!$D$16,Sheet1!$D$20:$D$21)</c:f>
              <c:numCache>
                <c:formatCode>General</c:formatCode>
                <c:ptCount val="3"/>
                <c:pt idx="0">
                  <c:v>64.3</c:v>
                </c:pt>
                <c:pt idx="1">
                  <c:v>81.5</c:v>
                </c:pt>
                <c:pt idx="2">
                  <c:v>153.4</c:v>
                </c:pt>
              </c:numCache>
            </c:numRef>
          </c:val>
          <c:smooth val="1"/>
        </c:ser>
        <c:ser>
          <c:idx val="2"/>
          <c:order val="2"/>
          <c:tx>
            <c:strRef>
              <c:f>Sheet1!$C$24</c:f>
              <c:strCache>
                <c:ptCount val="1"/>
                <c:pt idx="0">
                  <c:v>THF</c:v>
                </c:pt>
              </c:strCache>
            </c:strRef>
          </c:tx>
          <c:cat>
            <c:strRef>
              <c:f>Sheet1!$A$28:$A$30</c:f>
              <c:strCache>
                <c:ptCount val="3"/>
                <c:pt idx="0">
                  <c:v>MW1</c:v>
                </c:pt>
                <c:pt idx="1">
                  <c:v>MW2</c:v>
                </c:pt>
                <c:pt idx="2">
                  <c:v>MW3</c:v>
                </c:pt>
              </c:strCache>
            </c:strRef>
          </c:cat>
          <c:val>
            <c:numRef>
              <c:f>(Sheet1!$D$25,Sheet1!$D$29:$D$30)</c:f>
              <c:numCache>
                <c:formatCode>General</c:formatCode>
                <c:ptCount val="3"/>
                <c:pt idx="0">
                  <c:v>160</c:v>
                </c:pt>
                <c:pt idx="1">
                  <c:v>178.6</c:v>
                </c:pt>
                <c:pt idx="2">
                  <c:v>179.7</c:v>
                </c:pt>
              </c:numCache>
            </c:numRef>
          </c:val>
          <c:smooth val="1"/>
        </c:ser>
        <c:ser>
          <c:idx val="3"/>
          <c:order val="3"/>
          <c:tx>
            <c:strRef>
              <c:f>Sheet1!$C$33</c:f>
              <c:strCache>
                <c:ptCount val="1"/>
                <c:pt idx="0">
                  <c:v>Acetonitrile</c:v>
                </c:pt>
              </c:strCache>
            </c:strRef>
          </c:tx>
          <c:cat>
            <c:strRef>
              <c:f>Sheet1!$A$37:$A$39</c:f>
              <c:strCache>
                <c:ptCount val="3"/>
                <c:pt idx="0">
                  <c:v>MW1</c:v>
                </c:pt>
                <c:pt idx="1">
                  <c:v>MW2</c:v>
                </c:pt>
                <c:pt idx="2">
                  <c:v>MW3</c:v>
                </c:pt>
              </c:strCache>
            </c:strRef>
          </c:cat>
          <c:val>
            <c:numRef>
              <c:f>(Sheet1!$D$34,Sheet1!$D$38:$D$39)</c:f>
              <c:numCache>
                <c:formatCode>General</c:formatCode>
                <c:ptCount val="3"/>
                <c:pt idx="0">
                  <c:v>63.1</c:v>
                </c:pt>
                <c:pt idx="1">
                  <c:v>77.599999999999994</c:v>
                </c:pt>
                <c:pt idx="2">
                  <c:v>110.6</c:v>
                </c:pt>
              </c:numCache>
            </c:numRef>
          </c:val>
          <c:smooth val="1"/>
        </c:ser>
        <c:marker val="1"/>
        <c:axId val="157117440"/>
        <c:axId val="157135616"/>
      </c:lineChart>
      <c:catAx>
        <c:axId val="157117440"/>
        <c:scaling>
          <c:orientation val="minMax"/>
        </c:scaling>
        <c:axPos val="b"/>
        <c:numFmt formatCode="General" sourceLinked="1"/>
        <c:tickLblPos val="nextTo"/>
        <c:txPr>
          <a:bodyPr/>
          <a:lstStyle/>
          <a:p>
            <a:pPr>
              <a:defRPr lang="en-CA"/>
            </a:pPr>
            <a:endParaRPr lang="en-US"/>
          </a:p>
        </c:txPr>
        <c:crossAx val="157135616"/>
        <c:crosses val="autoZero"/>
        <c:auto val="1"/>
        <c:lblAlgn val="ctr"/>
        <c:lblOffset val="100"/>
      </c:catAx>
      <c:valAx>
        <c:axId val="157135616"/>
        <c:scaling>
          <c:orientation val="minMax"/>
        </c:scaling>
        <c:axPos val="l"/>
        <c:majorGridlines/>
        <c:title>
          <c:tx>
            <c:rich>
              <a:bodyPr rot="-5400000" vert="horz"/>
              <a:lstStyle/>
              <a:p>
                <a:pPr>
                  <a:defRPr lang="en-US" sz="1400"/>
                </a:pPr>
                <a:r>
                  <a:rPr lang="en-US" sz="1400"/>
                  <a:t>Particle</a:t>
                </a:r>
                <a:r>
                  <a:rPr lang="en-US" sz="1400" baseline="0"/>
                  <a:t> Size (nm)</a:t>
                </a:r>
                <a:endParaRPr lang="en-US" sz="1400"/>
              </a:p>
            </c:rich>
          </c:tx>
        </c:title>
        <c:numFmt formatCode="General" sourceLinked="1"/>
        <c:tickLblPos val="nextTo"/>
        <c:txPr>
          <a:bodyPr/>
          <a:lstStyle/>
          <a:p>
            <a:pPr>
              <a:defRPr lang="en-CA"/>
            </a:pPr>
            <a:endParaRPr lang="en-US"/>
          </a:p>
        </c:txPr>
        <c:crossAx val="157117440"/>
        <c:crosses val="autoZero"/>
        <c:crossBetween val="between"/>
      </c:valAx>
    </c:plotArea>
    <c:legend>
      <c:legendPos val="r"/>
      <c:layout>
        <c:manualLayout>
          <c:xMode val="edge"/>
          <c:yMode val="edge"/>
          <c:x val="0.82515277193404257"/>
          <c:y val="0.37442443456944158"/>
          <c:w val="0.17207995423201053"/>
          <c:h val="0.25995203429759961"/>
        </c:manualLayout>
      </c:layout>
      <c:txPr>
        <a:bodyPr/>
        <a:lstStyle/>
        <a:p>
          <a:pPr>
            <a:defRPr lang="en-CA"/>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CA" sz="1200" b="1" i="0" u="none" strike="noStrike" baseline="0"/>
              <a:t>UV-Vis Fluorescence</a:t>
            </a:r>
            <a:r>
              <a:rPr lang="en-US" sz="1200" baseline="0"/>
              <a:t> vs. Concentration</a:t>
            </a:r>
            <a:endParaRPr lang="en-US" sz="1200"/>
          </a:p>
        </c:rich>
      </c:tx>
    </c:title>
    <c:plotArea>
      <c:layout>
        <c:manualLayout>
          <c:layoutTarget val="inner"/>
          <c:xMode val="edge"/>
          <c:yMode val="edge"/>
          <c:x val="0.14641592140497744"/>
          <c:y val="0.25341027244269382"/>
          <c:w val="0.62734646226354218"/>
          <c:h val="0.53777293426225037"/>
        </c:manualLayout>
      </c:layout>
      <c:scatterChart>
        <c:scatterStyle val="lineMarker"/>
        <c:ser>
          <c:idx val="0"/>
          <c:order val="0"/>
          <c:tx>
            <c:strRef>
              <c:f>Sheet1!$E$15</c:f>
              <c:strCache>
                <c:ptCount val="1"/>
                <c:pt idx="0">
                  <c:v>Conc.</c:v>
                </c:pt>
              </c:strCache>
            </c:strRef>
          </c:tx>
          <c:spPr>
            <a:ln>
              <a:noFill/>
            </a:ln>
          </c:spPr>
          <c:trendline>
            <c:trendlineType val="linear"/>
            <c:intercept val="0"/>
          </c:trendline>
          <c:xVal>
            <c:numRef>
              <c:f>Sheet1!$E$16:$E$35</c:f>
              <c:numCache>
                <c:formatCode>General</c:formatCode>
                <c:ptCount val="20"/>
                <c:pt idx="12">
                  <c:v>7.5000000000000179E-3</c:v>
                </c:pt>
                <c:pt idx="13">
                  <c:v>7.5000000000000179E-3</c:v>
                </c:pt>
                <c:pt idx="14">
                  <c:v>2.500000000000007E-3</c:v>
                </c:pt>
                <c:pt idx="15">
                  <c:v>2.500000000000007E-3</c:v>
                </c:pt>
                <c:pt idx="16">
                  <c:v>1.0000000000000035E-3</c:v>
                </c:pt>
                <c:pt idx="17">
                  <c:v>1.0000000000000035E-3</c:v>
                </c:pt>
                <c:pt idx="18">
                  <c:v>5.0000000000000034E-4</c:v>
                </c:pt>
                <c:pt idx="19">
                  <c:v>5.0000000000000034E-4</c:v>
                </c:pt>
              </c:numCache>
            </c:numRef>
          </c:xVal>
          <c:yVal>
            <c:numRef>
              <c:f>Sheet1!$F$16:$F$35</c:f>
              <c:numCache>
                <c:formatCode>General</c:formatCode>
                <c:ptCount val="20"/>
                <c:pt idx="12">
                  <c:v>906</c:v>
                </c:pt>
                <c:pt idx="13">
                  <c:v>908</c:v>
                </c:pt>
                <c:pt idx="14">
                  <c:v>240</c:v>
                </c:pt>
                <c:pt idx="15">
                  <c:v>287</c:v>
                </c:pt>
                <c:pt idx="16">
                  <c:v>131</c:v>
                </c:pt>
                <c:pt idx="17">
                  <c:v>129</c:v>
                </c:pt>
                <c:pt idx="18">
                  <c:v>40</c:v>
                </c:pt>
                <c:pt idx="19">
                  <c:v>55</c:v>
                </c:pt>
              </c:numCache>
            </c:numRef>
          </c:yVal>
        </c:ser>
        <c:axId val="165611008"/>
        <c:axId val="165612544"/>
      </c:scatterChart>
      <c:valAx>
        <c:axId val="165611008"/>
        <c:scaling>
          <c:orientation val="minMax"/>
        </c:scaling>
        <c:axPos val="b"/>
        <c:numFmt formatCode="General" sourceLinked="1"/>
        <c:tickLblPos val="nextTo"/>
        <c:txPr>
          <a:bodyPr/>
          <a:lstStyle/>
          <a:p>
            <a:pPr>
              <a:defRPr lang="en-US"/>
            </a:pPr>
            <a:endParaRPr lang="en-US"/>
          </a:p>
        </c:txPr>
        <c:crossAx val="165612544"/>
        <c:crosses val="autoZero"/>
        <c:crossBetween val="midCat"/>
      </c:valAx>
      <c:valAx>
        <c:axId val="165612544"/>
        <c:scaling>
          <c:orientation val="minMax"/>
        </c:scaling>
        <c:axPos val="l"/>
        <c:majorGridlines/>
        <c:numFmt formatCode="General" sourceLinked="1"/>
        <c:tickLblPos val="nextTo"/>
        <c:txPr>
          <a:bodyPr/>
          <a:lstStyle/>
          <a:p>
            <a:pPr>
              <a:defRPr lang="en-US"/>
            </a:pPr>
            <a:endParaRPr lang="en-US"/>
          </a:p>
        </c:txPr>
        <c:crossAx val="165611008"/>
        <c:crosses val="autoZero"/>
        <c:crossBetween val="midCat"/>
      </c:valAx>
    </c:plotArea>
    <c:legend>
      <c:legendPos val="r"/>
      <c:layout>
        <c:manualLayout>
          <c:xMode val="edge"/>
          <c:yMode val="edge"/>
          <c:x val="0.79804365253085996"/>
          <c:y val="0.38489032082617886"/>
          <c:w val="0.18029495875239598"/>
          <c:h val="0.36090582052517212"/>
        </c:manualLayout>
      </c:layout>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400"/>
              <a:t>ELISA</a:t>
            </a:r>
            <a:r>
              <a:rPr lang="en-US" sz="1400" baseline="0"/>
              <a:t> Plot of Group 3 Data</a:t>
            </a:r>
            <a:endParaRPr lang="en-US" sz="1400"/>
          </a:p>
        </c:rich>
      </c:tx>
    </c:title>
    <c:plotArea>
      <c:layout>
        <c:manualLayout>
          <c:layoutTarget val="inner"/>
          <c:xMode val="edge"/>
          <c:yMode val="edge"/>
          <c:x val="0.11927996500437445"/>
          <c:y val="0.18091462525517643"/>
          <c:w val="0.56281014873140756"/>
          <c:h val="0.65482210557013765"/>
        </c:manualLayout>
      </c:layout>
      <c:scatterChart>
        <c:scatterStyle val="lineMarker"/>
        <c:ser>
          <c:idx val="0"/>
          <c:order val="0"/>
          <c:tx>
            <c:v>Absorbance</c:v>
          </c:tx>
          <c:spPr>
            <a:ln>
              <a:noFill/>
            </a:ln>
          </c:spPr>
          <c:trendline>
            <c:trendlineType val="linear"/>
          </c:trendline>
          <c:xVal>
            <c:numRef>
              <c:f>Sheet2!$H$3:$H$12</c:f>
              <c:numCache>
                <c:formatCode>General</c:formatCode>
                <c:ptCount val="10"/>
                <c:pt idx="0">
                  <c:v>0</c:v>
                </c:pt>
                <c:pt idx="1">
                  <c:v>2</c:v>
                </c:pt>
                <c:pt idx="2">
                  <c:v>5</c:v>
                </c:pt>
                <c:pt idx="3">
                  <c:v>5</c:v>
                </c:pt>
                <c:pt idx="4">
                  <c:v>10</c:v>
                </c:pt>
                <c:pt idx="5">
                  <c:v>20</c:v>
                </c:pt>
                <c:pt idx="6">
                  <c:v>50</c:v>
                </c:pt>
                <c:pt idx="7">
                  <c:v>100</c:v>
                </c:pt>
                <c:pt idx="8">
                  <c:v>100</c:v>
                </c:pt>
                <c:pt idx="9">
                  <c:v>200</c:v>
                </c:pt>
              </c:numCache>
            </c:numRef>
          </c:xVal>
          <c:yVal>
            <c:numRef>
              <c:f>Sheet2!$J$3:$J$12</c:f>
              <c:numCache>
                <c:formatCode>General</c:formatCode>
                <c:ptCount val="10"/>
                <c:pt idx="0">
                  <c:v>0</c:v>
                </c:pt>
                <c:pt idx="1">
                  <c:v>0.17150000000000001</c:v>
                </c:pt>
                <c:pt idx="2">
                  <c:v>-0.35850000000000032</c:v>
                </c:pt>
                <c:pt idx="3">
                  <c:v>-0.39750000000000102</c:v>
                </c:pt>
                <c:pt idx="4">
                  <c:v>-0.65500000000000158</c:v>
                </c:pt>
                <c:pt idx="5">
                  <c:v>-0.5370000000000007</c:v>
                </c:pt>
                <c:pt idx="6">
                  <c:v>-0.72250000000000014</c:v>
                </c:pt>
                <c:pt idx="7">
                  <c:v>0.25900000000000001</c:v>
                </c:pt>
                <c:pt idx="8">
                  <c:v>0.29800000000000026</c:v>
                </c:pt>
                <c:pt idx="9">
                  <c:v>-0.125</c:v>
                </c:pt>
              </c:numCache>
            </c:numRef>
          </c:yVal>
        </c:ser>
        <c:axId val="166346112"/>
        <c:axId val="166360576"/>
      </c:scatterChart>
      <c:valAx>
        <c:axId val="166346112"/>
        <c:scaling>
          <c:orientation val="minMax"/>
        </c:scaling>
        <c:axPos val="b"/>
        <c:title>
          <c:tx>
            <c:rich>
              <a:bodyPr/>
              <a:lstStyle/>
              <a:p>
                <a:pPr>
                  <a:defRPr lang="en-US"/>
                </a:pPr>
                <a:r>
                  <a:rPr lang="en-US" sz="1400"/>
                  <a:t>Concentration (uU/mL)</a:t>
                </a:r>
              </a:p>
            </c:rich>
          </c:tx>
        </c:title>
        <c:numFmt formatCode="General" sourceLinked="1"/>
        <c:tickLblPos val="nextTo"/>
        <c:txPr>
          <a:bodyPr/>
          <a:lstStyle/>
          <a:p>
            <a:pPr>
              <a:defRPr lang="en-US"/>
            </a:pPr>
            <a:endParaRPr lang="en-US"/>
          </a:p>
        </c:txPr>
        <c:crossAx val="166360576"/>
        <c:crosses val="autoZero"/>
        <c:crossBetween val="midCat"/>
      </c:valAx>
      <c:valAx>
        <c:axId val="166360576"/>
        <c:scaling>
          <c:orientation val="minMax"/>
        </c:scaling>
        <c:axPos val="l"/>
        <c:majorGridlines/>
        <c:title>
          <c:tx>
            <c:rich>
              <a:bodyPr rot="-5400000" vert="horz"/>
              <a:lstStyle/>
              <a:p>
                <a:pPr>
                  <a:defRPr lang="en-US"/>
                </a:pPr>
                <a:r>
                  <a:rPr lang="en-US" sz="1400"/>
                  <a:t>Absorbance</a:t>
                </a:r>
              </a:p>
            </c:rich>
          </c:tx>
        </c:title>
        <c:numFmt formatCode="General" sourceLinked="1"/>
        <c:tickLblPos val="nextTo"/>
        <c:txPr>
          <a:bodyPr/>
          <a:lstStyle/>
          <a:p>
            <a:pPr>
              <a:defRPr lang="en-US"/>
            </a:pPr>
            <a:endParaRPr lang="en-US"/>
          </a:p>
        </c:txPr>
        <c:crossAx val="166346112"/>
        <c:crosses val="autoZero"/>
        <c:crossBetween val="midCat"/>
      </c:valAx>
    </c:plotArea>
    <c:legend>
      <c:legendPos val="r"/>
      <c:txPr>
        <a:bodyPr/>
        <a:lstStyle/>
        <a:p>
          <a:pPr>
            <a:defRPr lang="en-US"/>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lang="en-US"/>
            </a:pPr>
            <a:r>
              <a:rPr lang="en-US" sz="1400" b="1" i="0" baseline="0"/>
              <a:t>ELISA Plot of Group 3 Data After Omitting Outliers</a:t>
            </a:r>
          </a:p>
        </c:rich>
      </c:tx>
      <c:overlay val="1"/>
    </c:title>
    <c:plotArea>
      <c:layout>
        <c:manualLayout>
          <c:layoutTarget val="inner"/>
          <c:xMode val="edge"/>
          <c:yMode val="edge"/>
          <c:x val="0.11927996500437445"/>
          <c:y val="0.18091462525517643"/>
          <c:w val="0.56281014873140756"/>
          <c:h val="0.65482210557013765"/>
        </c:manualLayout>
      </c:layout>
      <c:scatterChart>
        <c:scatterStyle val="lineMarker"/>
        <c:ser>
          <c:idx val="0"/>
          <c:order val="0"/>
          <c:tx>
            <c:v>Absorbance</c:v>
          </c:tx>
          <c:spPr>
            <a:ln>
              <a:noFill/>
            </a:ln>
          </c:spPr>
          <c:trendline>
            <c:trendlineType val="linear"/>
            <c:intercept val="0"/>
          </c:trendline>
          <c:xVal>
            <c:numRef>
              <c:f>Sheet2!$H$30:$H$39</c:f>
              <c:numCache>
                <c:formatCode>General</c:formatCode>
                <c:ptCount val="10"/>
                <c:pt idx="0">
                  <c:v>0</c:v>
                </c:pt>
                <c:pt idx="1">
                  <c:v>2</c:v>
                </c:pt>
                <c:pt idx="2">
                  <c:v>5</c:v>
                </c:pt>
                <c:pt idx="3">
                  <c:v>5</c:v>
                </c:pt>
                <c:pt idx="4">
                  <c:v>10</c:v>
                </c:pt>
                <c:pt idx="5">
                  <c:v>20</c:v>
                </c:pt>
                <c:pt idx="6">
                  <c:v>50</c:v>
                </c:pt>
                <c:pt idx="7">
                  <c:v>100</c:v>
                </c:pt>
                <c:pt idx="8">
                  <c:v>100</c:v>
                </c:pt>
                <c:pt idx="9">
                  <c:v>200</c:v>
                </c:pt>
              </c:numCache>
            </c:numRef>
          </c:xVal>
          <c:yVal>
            <c:numRef>
              <c:f>Sheet2!$J$30:$J$39</c:f>
              <c:numCache>
                <c:formatCode>General</c:formatCode>
                <c:ptCount val="10"/>
                <c:pt idx="0">
                  <c:v>0</c:v>
                </c:pt>
                <c:pt idx="2">
                  <c:v>0.36400000000000032</c:v>
                </c:pt>
                <c:pt idx="3">
                  <c:v>0.32500000000000046</c:v>
                </c:pt>
                <c:pt idx="5">
                  <c:v>0.18550000000000014</c:v>
                </c:pt>
                <c:pt idx="7">
                  <c:v>0.98149999999999959</c:v>
                </c:pt>
                <c:pt idx="8">
                  <c:v>1.0204999999999977</c:v>
                </c:pt>
              </c:numCache>
            </c:numRef>
          </c:yVal>
        </c:ser>
        <c:axId val="166373632"/>
        <c:axId val="176349568"/>
      </c:scatterChart>
      <c:valAx>
        <c:axId val="166373632"/>
        <c:scaling>
          <c:orientation val="minMax"/>
        </c:scaling>
        <c:axPos val="b"/>
        <c:title>
          <c:tx>
            <c:rich>
              <a:bodyPr/>
              <a:lstStyle/>
              <a:p>
                <a:pPr>
                  <a:defRPr lang="en-US"/>
                </a:pPr>
                <a:r>
                  <a:rPr lang="en-US" sz="1400"/>
                  <a:t>Concentration (uU/mL</a:t>
                </a:r>
                <a:r>
                  <a:rPr lang="en-US"/>
                  <a:t>)</a:t>
                </a:r>
              </a:p>
            </c:rich>
          </c:tx>
        </c:title>
        <c:numFmt formatCode="General" sourceLinked="1"/>
        <c:tickLblPos val="nextTo"/>
        <c:txPr>
          <a:bodyPr/>
          <a:lstStyle/>
          <a:p>
            <a:pPr>
              <a:defRPr lang="en-US"/>
            </a:pPr>
            <a:endParaRPr lang="en-US"/>
          </a:p>
        </c:txPr>
        <c:crossAx val="176349568"/>
        <c:crosses val="autoZero"/>
        <c:crossBetween val="midCat"/>
      </c:valAx>
      <c:valAx>
        <c:axId val="176349568"/>
        <c:scaling>
          <c:orientation val="minMax"/>
        </c:scaling>
        <c:axPos val="l"/>
        <c:majorGridlines/>
        <c:title>
          <c:tx>
            <c:rich>
              <a:bodyPr rot="-5400000" vert="horz"/>
              <a:lstStyle/>
              <a:p>
                <a:pPr>
                  <a:defRPr lang="en-US"/>
                </a:pPr>
                <a:r>
                  <a:rPr lang="en-US" sz="1400"/>
                  <a:t>Absorbance</a:t>
                </a:r>
              </a:p>
            </c:rich>
          </c:tx>
        </c:title>
        <c:numFmt formatCode="General" sourceLinked="1"/>
        <c:tickLblPos val="nextTo"/>
        <c:txPr>
          <a:bodyPr/>
          <a:lstStyle/>
          <a:p>
            <a:pPr>
              <a:defRPr lang="en-US"/>
            </a:pPr>
            <a:endParaRPr lang="en-US"/>
          </a:p>
        </c:txPr>
        <c:crossAx val="166373632"/>
        <c:crosses val="autoZero"/>
        <c:crossBetween val="midCat"/>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77B0-548A-46A8-9DD1-310DB531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Rajesh Kumar</dc:creator>
  <cp:lastModifiedBy>Rajesh Kumar</cp:lastModifiedBy>
  <cp:revision>45</cp:revision>
  <dcterms:created xsi:type="dcterms:W3CDTF">2010-01-03T20:41:00Z</dcterms:created>
  <dcterms:modified xsi:type="dcterms:W3CDTF">2010-06-29T17:44:00Z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